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4"/>
        </w:rPr>
      </w:pPr>
    </w:p>
    <w:p>
      <w:pPr>
        <w:spacing w:line="360" w:lineRule="auto"/>
        <w:jc w:val="center"/>
        <w:rPr>
          <w:b/>
          <w:spacing w:val="40"/>
          <w:sz w:val="84"/>
          <w:szCs w:val="84"/>
        </w:rPr>
      </w:pPr>
    </w:p>
    <w:p>
      <w:pPr>
        <w:spacing w:line="360" w:lineRule="auto"/>
        <w:jc w:val="center"/>
      </w:pPr>
      <w:bookmarkStart w:id="0" w:name="_Toc38947771"/>
      <w:bookmarkStart w:id="1" w:name="_Toc37663365"/>
      <w:bookmarkStart w:id="2" w:name="_Toc37331055"/>
      <w:bookmarkStart w:id="3" w:name="_Toc37569493"/>
      <w:bookmarkStart w:id="4" w:name="_Toc37581393"/>
      <w:bookmarkStart w:id="5" w:name="_Toc37245250"/>
      <w:bookmarkStart w:id="6" w:name="_Toc37331012"/>
    </w:p>
    <w:p>
      <w:pPr>
        <w:spacing w:line="360" w:lineRule="auto"/>
        <w:jc w:val="center"/>
        <w:rPr>
          <w:b/>
          <w:sz w:val="32"/>
          <w:szCs w:val="32"/>
        </w:rPr>
      </w:pPr>
    </w:p>
    <w:p>
      <w:pPr>
        <w:spacing w:line="360" w:lineRule="auto"/>
        <w:ind w:firstLine="524" w:firstLineChars="164"/>
        <w:rPr>
          <w:b/>
          <w:sz w:val="32"/>
          <w:szCs w:val="32"/>
        </w:rPr>
      </w:pPr>
    </w:p>
    <w:p>
      <w:pPr>
        <w:spacing w:line="360" w:lineRule="auto"/>
        <w:jc w:val="center"/>
        <w:rPr>
          <w:rFonts w:eastAsia="方正小标宋_GBK"/>
          <w:sz w:val="44"/>
          <w:szCs w:val="44"/>
        </w:rPr>
      </w:pPr>
      <w:r>
        <w:rPr>
          <w:rFonts w:eastAsia="方正小标宋_GBK"/>
          <w:sz w:val="44"/>
          <w:szCs w:val="44"/>
        </w:rPr>
        <w:t>广州市政务服务数据管理局</w:t>
      </w:r>
    </w:p>
    <w:p>
      <w:pPr>
        <w:spacing w:line="360" w:lineRule="auto"/>
        <w:jc w:val="center"/>
        <w:rPr>
          <w:rFonts w:hint="eastAsia" w:eastAsia="方正小标宋_GBK"/>
          <w:sz w:val="44"/>
          <w:szCs w:val="44"/>
          <w:lang w:eastAsia="zh-CN"/>
        </w:rPr>
      </w:pPr>
      <w:r>
        <w:rPr>
          <w:rFonts w:hint="eastAsia" w:eastAsia="方正小标宋_GBK"/>
          <w:sz w:val="44"/>
          <w:szCs w:val="44"/>
        </w:rPr>
        <w:t>广州移动政务服务平台</w:t>
      </w:r>
      <w:r>
        <w:rPr>
          <w:rFonts w:hint="eastAsia" w:eastAsia="方正小标宋_GBK"/>
          <w:sz w:val="44"/>
          <w:szCs w:val="44"/>
          <w:lang w:eastAsia="zh-CN"/>
        </w:rPr>
        <w:t>设计咨询服务</w:t>
      </w:r>
    </w:p>
    <w:p>
      <w:pPr>
        <w:spacing w:line="360" w:lineRule="auto"/>
        <w:jc w:val="center"/>
        <w:rPr>
          <w:rFonts w:eastAsia="黑体"/>
          <w:sz w:val="44"/>
          <w:szCs w:val="32"/>
        </w:rPr>
      </w:pPr>
    </w:p>
    <w:p>
      <w:pPr>
        <w:spacing w:line="360" w:lineRule="auto"/>
        <w:jc w:val="center"/>
        <w:rPr>
          <w:rFonts w:eastAsia="仿宋_GB2312"/>
          <w:sz w:val="44"/>
          <w:szCs w:val="32"/>
        </w:rPr>
      </w:pPr>
      <w:r>
        <w:rPr>
          <w:rFonts w:hint="eastAsia" w:eastAsia="仿宋_GB2312"/>
          <w:sz w:val="44"/>
          <w:szCs w:val="32"/>
        </w:rPr>
        <w:t>招标</w:t>
      </w:r>
      <w:r>
        <w:rPr>
          <w:rFonts w:eastAsia="仿宋_GB2312"/>
          <w:sz w:val="44"/>
          <w:szCs w:val="32"/>
        </w:rPr>
        <w:t>文件</w:t>
      </w:r>
    </w:p>
    <w:bookmarkEnd w:id="0"/>
    <w:bookmarkEnd w:id="1"/>
    <w:bookmarkEnd w:id="2"/>
    <w:bookmarkEnd w:id="3"/>
    <w:bookmarkEnd w:id="4"/>
    <w:bookmarkEnd w:id="5"/>
    <w:bookmarkEnd w:id="6"/>
    <w:p>
      <w:pPr>
        <w:spacing w:line="360" w:lineRule="auto"/>
        <w:ind w:firstLine="524" w:firstLineChars="164"/>
        <w:rPr>
          <w:b/>
          <w:sz w:val="32"/>
        </w:rPr>
      </w:pPr>
    </w:p>
    <w:p>
      <w:pPr>
        <w:spacing w:line="360" w:lineRule="auto"/>
        <w:ind w:firstLine="524" w:firstLineChars="164"/>
        <w:rPr>
          <w:b/>
          <w:sz w:val="32"/>
        </w:rPr>
      </w:pPr>
    </w:p>
    <w:p>
      <w:pPr>
        <w:spacing w:line="360" w:lineRule="auto"/>
        <w:ind w:firstLine="524" w:firstLineChars="164"/>
        <w:rPr>
          <w:b/>
          <w:sz w:val="32"/>
        </w:rPr>
      </w:pPr>
    </w:p>
    <w:p>
      <w:pPr>
        <w:spacing w:line="360" w:lineRule="auto"/>
        <w:ind w:firstLine="524" w:firstLineChars="164"/>
        <w:rPr>
          <w:sz w:val="32"/>
        </w:rPr>
      </w:pPr>
    </w:p>
    <w:p>
      <w:pPr>
        <w:spacing w:line="360" w:lineRule="auto"/>
        <w:ind w:firstLine="524" w:firstLineChars="164"/>
        <w:rPr>
          <w:sz w:val="32"/>
        </w:rPr>
      </w:pPr>
    </w:p>
    <w:p>
      <w:pPr>
        <w:spacing w:line="360" w:lineRule="auto"/>
        <w:ind w:firstLine="524" w:firstLineChars="164"/>
        <w:rPr>
          <w:sz w:val="32"/>
        </w:rPr>
      </w:pPr>
    </w:p>
    <w:p>
      <w:pPr>
        <w:spacing w:line="360" w:lineRule="auto"/>
        <w:ind w:firstLine="524" w:firstLineChars="164"/>
        <w:rPr>
          <w:sz w:val="32"/>
        </w:rPr>
      </w:pPr>
    </w:p>
    <w:p>
      <w:pPr>
        <w:spacing w:line="360" w:lineRule="auto"/>
        <w:ind w:firstLine="524" w:firstLineChars="164"/>
        <w:rPr>
          <w:sz w:val="32"/>
        </w:rPr>
      </w:pPr>
    </w:p>
    <w:p>
      <w:pPr>
        <w:spacing w:line="360" w:lineRule="auto"/>
        <w:jc w:val="center"/>
        <w:rPr>
          <w:b/>
          <w:sz w:val="32"/>
          <w:szCs w:val="32"/>
        </w:rPr>
      </w:pPr>
      <w:r>
        <w:rPr>
          <w:b/>
          <w:sz w:val="32"/>
          <w:szCs w:val="32"/>
        </w:rPr>
        <w:t>广州市政务服务数据管理局</w:t>
      </w:r>
    </w:p>
    <w:p>
      <w:pPr>
        <w:spacing w:line="360" w:lineRule="auto"/>
        <w:jc w:val="center"/>
        <w:rPr>
          <w:b/>
          <w:sz w:val="32"/>
          <w:szCs w:val="32"/>
        </w:rPr>
      </w:pPr>
      <w:bookmarkStart w:id="7" w:name="EBcb75808cf18f4990a44bdd311373c1ea"/>
    </w:p>
    <w:p>
      <w:pPr>
        <w:spacing w:line="360" w:lineRule="auto"/>
        <w:jc w:val="center"/>
        <w:rPr>
          <w:b/>
        </w:rPr>
      </w:pPr>
      <w:r>
        <w:rPr>
          <w:b/>
        </w:rPr>
        <w:t>20</w:t>
      </w:r>
      <w:r>
        <w:rPr>
          <w:rFonts w:hint="eastAsia"/>
          <w:b/>
        </w:rPr>
        <w:t>20</w:t>
      </w:r>
      <w:r>
        <w:rPr>
          <w:b/>
        </w:rPr>
        <w:t>年</w:t>
      </w:r>
      <w:r>
        <w:rPr>
          <w:rFonts w:hint="eastAsia"/>
          <w:b/>
        </w:rPr>
        <w:t>5</w:t>
      </w:r>
      <w:r>
        <w:rPr>
          <w:b/>
        </w:rPr>
        <w:t>月</w:t>
      </w:r>
      <w:r>
        <w:rPr>
          <w:rFonts w:hint="eastAsia"/>
          <w:b/>
          <w:lang w:val="en-US" w:eastAsia="zh-CN"/>
        </w:rPr>
        <w:t>22</w:t>
      </w:r>
      <w:r>
        <w:rPr>
          <w:b/>
        </w:rPr>
        <w:t>日</w:t>
      </w:r>
      <w:bookmarkEnd w:id="7"/>
    </w:p>
    <w:p>
      <w:pPr>
        <w:spacing w:line="360" w:lineRule="auto"/>
        <w:jc w:val="center"/>
        <w:rPr>
          <w:sz w:val="28"/>
          <w:szCs w:val="28"/>
        </w:rPr>
      </w:pPr>
      <w:bookmarkStart w:id="8" w:name="EBd97a963d55784ea39a922f2c677e005e"/>
      <w:bookmarkEnd w:id="8"/>
    </w:p>
    <w:p>
      <w:pPr>
        <w:spacing w:line="360" w:lineRule="auto"/>
        <w:jc w:val="center"/>
        <w:rPr>
          <w:b/>
          <w:sz w:val="28"/>
          <w:szCs w:val="28"/>
        </w:rPr>
      </w:pPr>
      <w:r>
        <w:rPr>
          <w:b/>
          <w:sz w:val="28"/>
          <w:szCs w:val="28"/>
        </w:rPr>
        <w:br w:type="page"/>
      </w:r>
      <w:r>
        <w:rPr>
          <w:b/>
          <w:sz w:val="28"/>
          <w:szCs w:val="28"/>
        </w:rPr>
        <w:t>目 录</w:t>
      </w:r>
    </w:p>
    <w:p>
      <w:pPr>
        <w:spacing w:line="360" w:lineRule="auto"/>
        <w:jc w:val="center"/>
        <w:rPr>
          <w:b/>
          <w:bCs/>
          <w:sz w:val="28"/>
          <w:szCs w:val="28"/>
        </w:rPr>
      </w:pPr>
    </w:p>
    <w:p>
      <w:pPr>
        <w:pStyle w:val="20"/>
        <w:tabs>
          <w:tab w:val="right" w:leader="dot" w:pos="9469"/>
          <w:tab w:val="clear" w:pos="9402"/>
        </w:tabs>
      </w:pPr>
      <w:r>
        <w:rPr>
          <w:bCs/>
          <w:sz w:val="28"/>
          <w:szCs w:val="28"/>
        </w:rPr>
        <w:fldChar w:fldCharType="begin"/>
      </w:r>
      <w:r>
        <w:rPr>
          <w:bCs/>
          <w:sz w:val="28"/>
          <w:szCs w:val="28"/>
        </w:rPr>
        <w:instrText xml:space="preserve"> TOC \o "1-3" \h \z \u \t "-1" </w:instrText>
      </w:r>
      <w:r>
        <w:rPr>
          <w:bCs/>
          <w:sz w:val="28"/>
          <w:szCs w:val="28"/>
        </w:rPr>
        <w:fldChar w:fldCharType="separate"/>
      </w:r>
      <w:r>
        <w:rPr>
          <w:bCs/>
          <w:szCs w:val="28"/>
        </w:rPr>
        <w:fldChar w:fldCharType="begin"/>
      </w:r>
      <w:r>
        <w:rPr>
          <w:bCs/>
          <w:szCs w:val="28"/>
        </w:rPr>
        <w:instrText xml:space="preserve"> HYPERLINK \l _Toc31454 </w:instrText>
      </w:r>
      <w:r>
        <w:rPr>
          <w:bCs/>
          <w:szCs w:val="28"/>
        </w:rPr>
        <w:fldChar w:fldCharType="separate"/>
      </w:r>
      <w:r>
        <w:rPr>
          <w:rFonts w:hint="eastAsia"/>
        </w:rPr>
        <w:t>招标公告</w:t>
      </w:r>
      <w:r>
        <w:tab/>
      </w:r>
      <w:r>
        <w:fldChar w:fldCharType="begin"/>
      </w:r>
      <w:r>
        <w:instrText xml:space="preserve"> PAGEREF _Toc31454 </w:instrText>
      </w:r>
      <w:r>
        <w:fldChar w:fldCharType="separate"/>
      </w:r>
      <w:r>
        <w:t>3</w:t>
      </w:r>
      <w:r>
        <w:fldChar w:fldCharType="end"/>
      </w:r>
      <w:r>
        <w:rPr>
          <w:bCs/>
          <w:szCs w:val="28"/>
        </w:rPr>
        <w:fldChar w:fldCharType="end"/>
      </w:r>
    </w:p>
    <w:p>
      <w:pPr>
        <w:pStyle w:val="20"/>
        <w:tabs>
          <w:tab w:val="right" w:leader="dot" w:pos="9469"/>
          <w:tab w:val="clear" w:pos="9402"/>
        </w:tabs>
      </w:pPr>
      <w:r>
        <w:rPr>
          <w:bCs/>
          <w:szCs w:val="28"/>
        </w:rPr>
        <w:fldChar w:fldCharType="begin"/>
      </w:r>
      <w:r>
        <w:rPr>
          <w:bCs/>
          <w:szCs w:val="28"/>
        </w:rPr>
        <w:instrText xml:space="preserve"> HYPERLINK \l _Toc25619 </w:instrText>
      </w:r>
      <w:r>
        <w:rPr>
          <w:bCs/>
          <w:szCs w:val="28"/>
        </w:rPr>
        <w:fldChar w:fldCharType="separate"/>
      </w:r>
      <w:r>
        <w:rPr>
          <w:rFonts w:hint="eastAsia" w:ascii="Times New Roman" w:hAnsi="Times New Roman"/>
          <w:szCs w:val="30"/>
        </w:rPr>
        <w:t>第一部分 投标须知</w:t>
      </w:r>
      <w:r>
        <w:tab/>
      </w:r>
      <w:r>
        <w:fldChar w:fldCharType="begin"/>
      </w:r>
      <w:r>
        <w:instrText xml:space="preserve"> PAGEREF _Toc25619 </w:instrText>
      </w:r>
      <w:r>
        <w:fldChar w:fldCharType="separate"/>
      </w:r>
      <w:r>
        <w:t>5</w:t>
      </w:r>
      <w:r>
        <w:fldChar w:fldCharType="end"/>
      </w:r>
      <w:r>
        <w:rPr>
          <w:bCs/>
          <w:szCs w:val="28"/>
        </w:rPr>
        <w:fldChar w:fldCharType="end"/>
      </w:r>
    </w:p>
    <w:p>
      <w:pPr>
        <w:pStyle w:val="20"/>
        <w:tabs>
          <w:tab w:val="right" w:leader="dot" w:pos="9469"/>
          <w:tab w:val="clear" w:pos="9402"/>
        </w:tabs>
      </w:pPr>
      <w:r>
        <w:rPr>
          <w:bCs/>
          <w:szCs w:val="28"/>
        </w:rPr>
        <w:fldChar w:fldCharType="begin"/>
      </w:r>
      <w:r>
        <w:rPr>
          <w:bCs/>
          <w:szCs w:val="28"/>
        </w:rPr>
        <w:instrText xml:space="preserve"> HYPERLINK \l _Toc7348 </w:instrText>
      </w:r>
      <w:r>
        <w:rPr>
          <w:bCs/>
          <w:szCs w:val="28"/>
        </w:rPr>
        <w:fldChar w:fldCharType="separate"/>
      </w:r>
      <w:r>
        <w:rPr>
          <w:rFonts w:ascii="Times New Roman" w:hAnsi="Times New Roman"/>
          <w:szCs w:val="30"/>
        </w:rPr>
        <w:t>第</w:t>
      </w:r>
      <w:r>
        <w:rPr>
          <w:rFonts w:hint="eastAsia" w:ascii="Times New Roman" w:hAnsi="Times New Roman"/>
          <w:szCs w:val="30"/>
        </w:rPr>
        <w:t>二部分</w:t>
      </w:r>
      <w:r>
        <w:rPr>
          <w:rFonts w:ascii="Times New Roman" w:hAnsi="Times New Roman"/>
          <w:szCs w:val="30"/>
        </w:rPr>
        <w:t xml:space="preserve"> 采购需求</w:t>
      </w:r>
      <w:r>
        <w:tab/>
      </w:r>
      <w:r>
        <w:fldChar w:fldCharType="begin"/>
      </w:r>
      <w:r>
        <w:instrText xml:space="preserve"> PAGEREF _Toc7348 </w:instrText>
      </w:r>
      <w:r>
        <w:fldChar w:fldCharType="separate"/>
      </w:r>
      <w:r>
        <w:t>10</w:t>
      </w:r>
      <w:r>
        <w:fldChar w:fldCharType="end"/>
      </w:r>
      <w:r>
        <w:rPr>
          <w:bCs/>
          <w:szCs w:val="28"/>
        </w:rPr>
        <w:fldChar w:fldCharType="end"/>
      </w:r>
    </w:p>
    <w:p>
      <w:pPr>
        <w:pStyle w:val="15"/>
        <w:tabs>
          <w:tab w:val="right" w:leader="dot" w:pos="9469"/>
        </w:tabs>
      </w:pPr>
      <w:r>
        <w:rPr>
          <w:bCs/>
          <w:szCs w:val="28"/>
        </w:rPr>
        <w:fldChar w:fldCharType="begin"/>
      </w:r>
      <w:r>
        <w:rPr>
          <w:bCs/>
          <w:szCs w:val="28"/>
        </w:rPr>
        <w:instrText xml:space="preserve"> HYPERLINK \l _Toc8322 </w:instrText>
      </w:r>
      <w:r>
        <w:rPr>
          <w:bCs/>
          <w:szCs w:val="28"/>
        </w:rPr>
        <w:fldChar w:fldCharType="separate"/>
      </w:r>
      <w:r>
        <w:rPr>
          <w:rFonts w:hint="eastAsia" w:hAnsi="宋体" w:cs="宋体"/>
          <w:lang w:bidi="ar"/>
        </w:rPr>
        <w:t>一</w:t>
      </w:r>
      <w:r>
        <w:rPr>
          <w:rFonts w:ascii="仿宋_GB2312" w:hAnsi="仿宋_GB2312" w:eastAsia="仿宋_GB2312" w:cs="宋体"/>
          <w:lang w:bidi="ar"/>
        </w:rPr>
        <w:t>、</w:t>
      </w:r>
      <w:r>
        <w:rPr>
          <w:rFonts w:hAnsi="宋体" w:cs="宋体"/>
          <w:lang w:bidi="ar"/>
        </w:rPr>
        <w:t>项目背景</w:t>
      </w:r>
      <w:r>
        <w:tab/>
      </w:r>
      <w:r>
        <w:fldChar w:fldCharType="begin"/>
      </w:r>
      <w:r>
        <w:instrText xml:space="preserve"> PAGEREF _Toc8322 </w:instrText>
      </w:r>
      <w:r>
        <w:fldChar w:fldCharType="separate"/>
      </w:r>
      <w:r>
        <w:t>10</w:t>
      </w:r>
      <w:r>
        <w:fldChar w:fldCharType="end"/>
      </w:r>
      <w:r>
        <w:rPr>
          <w:bCs/>
          <w:szCs w:val="28"/>
        </w:rPr>
        <w:fldChar w:fldCharType="end"/>
      </w:r>
    </w:p>
    <w:p>
      <w:pPr>
        <w:pStyle w:val="15"/>
        <w:tabs>
          <w:tab w:val="right" w:leader="dot" w:pos="9469"/>
        </w:tabs>
      </w:pPr>
      <w:r>
        <w:rPr>
          <w:bCs/>
          <w:szCs w:val="28"/>
        </w:rPr>
        <w:fldChar w:fldCharType="begin"/>
      </w:r>
      <w:r>
        <w:rPr>
          <w:bCs/>
          <w:szCs w:val="28"/>
        </w:rPr>
        <w:instrText xml:space="preserve"> HYPERLINK \l _Toc11448 </w:instrText>
      </w:r>
      <w:r>
        <w:rPr>
          <w:bCs/>
          <w:szCs w:val="28"/>
        </w:rPr>
        <w:fldChar w:fldCharType="separate"/>
      </w:r>
      <w:r>
        <w:rPr>
          <w:rFonts w:hint="eastAsia" w:hAnsi="宋体" w:cs="宋体"/>
          <w:lang w:bidi="ar"/>
        </w:rPr>
        <w:t>二、 服务的内容、形式和要求</w:t>
      </w:r>
      <w:r>
        <w:tab/>
      </w:r>
      <w:r>
        <w:fldChar w:fldCharType="begin"/>
      </w:r>
      <w:r>
        <w:instrText xml:space="preserve"> PAGEREF _Toc11448 </w:instrText>
      </w:r>
      <w:r>
        <w:fldChar w:fldCharType="separate"/>
      </w:r>
      <w:r>
        <w:t>10</w:t>
      </w:r>
      <w:r>
        <w:fldChar w:fldCharType="end"/>
      </w:r>
      <w:r>
        <w:rPr>
          <w:bCs/>
          <w:szCs w:val="28"/>
        </w:rPr>
        <w:fldChar w:fldCharType="end"/>
      </w:r>
    </w:p>
    <w:p>
      <w:pPr>
        <w:pStyle w:val="15"/>
        <w:tabs>
          <w:tab w:val="right" w:leader="dot" w:pos="9469"/>
        </w:tabs>
      </w:pPr>
      <w:r>
        <w:rPr>
          <w:bCs/>
          <w:szCs w:val="28"/>
        </w:rPr>
        <w:fldChar w:fldCharType="begin"/>
      </w:r>
      <w:r>
        <w:rPr>
          <w:bCs/>
          <w:szCs w:val="28"/>
        </w:rPr>
        <w:instrText xml:space="preserve"> HYPERLINK \l _Toc7977 </w:instrText>
      </w:r>
      <w:r>
        <w:rPr>
          <w:bCs/>
          <w:szCs w:val="28"/>
        </w:rPr>
        <w:fldChar w:fldCharType="separate"/>
      </w:r>
      <w:r>
        <w:rPr>
          <w:rFonts w:hint="eastAsia" w:hAnsi="宋体" w:cs="宋体"/>
          <w:lang w:bidi="ar"/>
        </w:rPr>
        <w:t>三、项目验收安排</w:t>
      </w:r>
      <w:r>
        <w:tab/>
      </w:r>
      <w:r>
        <w:fldChar w:fldCharType="begin"/>
      </w:r>
      <w:r>
        <w:instrText xml:space="preserve"> PAGEREF _Toc7977 </w:instrText>
      </w:r>
      <w:r>
        <w:fldChar w:fldCharType="separate"/>
      </w:r>
      <w:r>
        <w:t>11</w:t>
      </w:r>
      <w:r>
        <w:fldChar w:fldCharType="end"/>
      </w:r>
      <w:r>
        <w:rPr>
          <w:bCs/>
          <w:szCs w:val="28"/>
        </w:rPr>
        <w:fldChar w:fldCharType="end"/>
      </w:r>
    </w:p>
    <w:p>
      <w:pPr>
        <w:pStyle w:val="15"/>
        <w:tabs>
          <w:tab w:val="right" w:leader="dot" w:pos="9469"/>
        </w:tabs>
      </w:pPr>
      <w:r>
        <w:rPr>
          <w:bCs/>
          <w:szCs w:val="28"/>
        </w:rPr>
        <w:fldChar w:fldCharType="begin"/>
      </w:r>
      <w:r>
        <w:rPr>
          <w:bCs/>
          <w:szCs w:val="28"/>
        </w:rPr>
        <w:instrText xml:space="preserve"> HYPERLINK \l _Toc10442 </w:instrText>
      </w:r>
      <w:r>
        <w:rPr>
          <w:bCs/>
          <w:szCs w:val="28"/>
        </w:rPr>
        <w:fldChar w:fldCharType="separate"/>
      </w:r>
      <w:r>
        <w:rPr>
          <w:rFonts w:hint="eastAsia" w:hAnsi="宋体" w:cs="宋体"/>
          <w:lang w:bidi="ar"/>
        </w:rPr>
        <w:t>四、其他要求</w:t>
      </w:r>
      <w:r>
        <w:tab/>
      </w:r>
      <w:r>
        <w:fldChar w:fldCharType="begin"/>
      </w:r>
      <w:r>
        <w:instrText xml:space="preserve"> PAGEREF _Toc10442 </w:instrText>
      </w:r>
      <w:r>
        <w:fldChar w:fldCharType="separate"/>
      </w:r>
      <w:r>
        <w:t>11</w:t>
      </w:r>
      <w:r>
        <w:fldChar w:fldCharType="end"/>
      </w:r>
      <w:r>
        <w:rPr>
          <w:bCs/>
          <w:szCs w:val="28"/>
        </w:rPr>
        <w:fldChar w:fldCharType="end"/>
      </w:r>
    </w:p>
    <w:p>
      <w:pPr>
        <w:pStyle w:val="15"/>
        <w:tabs>
          <w:tab w:val="right" w:leader="dot" w:pos="9469"/>
        </w:tabs>
      </w:pPr>
      <w:r>
        <w:rPr>
          <w:bCs/>
          <w:szCs w:val="28"/>
        </w:rPr>
        <w:fldChar w:fldCharType="begin"/>
      </w:r>
      <w:r>
        <w:rPr>
          <w:bCs/>
          <w:szCs w:val="28"/>
        </w:rPr>
        <w:instrText xml:space="preserve"> HYPERLINK \l _Toc13945 </w:instrText>
      </w:r>
      <w:r>
        <w:rPr>
          <w:bCs/>
          <w:szCs w:val="28"/>
        </w:rPr>
        <w:fldChar w:fldCharType="separate"/>
      </w:r>
      <w:r>
        <w:rPr>
          <w:rFonts w:hint="eastAsia" w:hAnsi="宋体" w:cs="宋体"/>
          <w:lang w:bidi="ar"/>
        </w:rPr>
        <w:t>五、付款方式</w:t>
      </w:r>
      <w:r>
        <w:tab/>
      </w:r>
      <w:r>
        <w:fldChar w:fldCharType="begin"/>
      </w:r>
      <w:r>
        <w:instrText xml:space="preserve"> PAGEREF _Toc13945 </w:instrText>
      </w:r>
      <w:r>
        <w:fldChar w:fldCharType="separate"/>
      </w:r>
      <w:r>
        <w:t>11</w:t>
      </w:r>
      <w:r>
        <w:fldChar w:fldCharType="end"/>
      </w:r>
      <w:r>
        <w:rPr>
          <w:bCs/>
          <w:szCs w:val="28"/>
        </w:rPr>
        <w:fldChar w:fldCharType="end"/>
      </w:r>
    </w:p>
    <w:p>
      <w:pPr>
        <w:pStyle w:val="15"/>
        <w:tabs>
          <w:tab w:val="right" w:leader="dot" w:pos="9469"/>
        </w:tabs>
      </w:pPr>
      <w:r>
        <w:rPr>
          <w:bCs/>
          <w:szCs w:val="28"/>
        </w:rPr>
        <w:fldChar w:fldCharType="begin"/>
      </w:r>
      <w:r>
        <w:rPr>
          <w:bCs/>
          <w:szCs w:val="28"/>
        </w:rPr>
        <w:instrText xml:space="preserve"> HYPERLINK \l _Toc25959 </w:instrText>
      </w:r>
      <w:r>
        <w:rPr>
          <w:bCs/>
          <w:szCs w:val="28"/>
        </w:rPr>
        <w:fldChar w:fldCharType="separate"/>
      </w:r>
      <w:r>
        <w:rPr>
          <w:rFonts w:hint="eastAsia" w:hAnsi="宋体" w:cs="宋体"/>
          <w:lang w:bidi="ar"/>
        </w:rPr>
        <w:t>六、附则</w:t>
      </w:r>
      <w:r>
        <w:tab/>
      </w:r>
      <w:r>
        <w:fldChar w:fldCharType="begin"/>
      </w:r>
      <w:r>
        <w:instrText xml:space="preserve"> PAGEREF _Toc25959 </w:instrText>
      </w:r>
      <w:r>
        <w:fldChar w:fldCharType="separate"/>
      </w:r>
      <w:r>
        <w:t>11</w:t>
      </w:r>
      <w:r>
        <w:fldChar w:fldCharType="end"/>
      </w:r>
      <w:r>
        <w:rPr>
          <w:bCs/>
          <w:szCs w:val="28"/>
        </w:rPr>
        <w:fldChar w:fldCharType="end"/>
      </w:r>
    </w:p>
    <w:p>
      <w:pPr>
        <w:pStyle w:val="20"/>
        <w:tabs>
          <w:tab w:val="right" w:leader="dot" w:pos="9469"/>
          <w:tab w:val="clear" w:pos="9402"/>
        </w:tabs>
      </w:pPr>
      <w:r>
        <w:rPr>
          <w:bCs/>
          <w:szCs w:val="28"/>
        </w:rPr>
        <w:fldChar w:fldCharType="begin"/>
      </w:r>
      <w:r>
        <w:rPr>
          <w:bCs/>
          <w:szCs w:val="28"/>
        </w:rPr>
        <w:instrText xml:space="preserve"> HYPERLINK \l _Toc2463 </w:instrText>
      </w:r>
      <w:r>
        <w:rPr>
          <w:bCs/>
          <w:szCs w:val="28"/>
        </w:rPr>
        <w:fldChar w:fldCharType="separate"/>
      </w:r>
      <w:r>
        <w:rPr>
          <w:rFonts w:ascii="Times New Roman" w:hAnsi="Times New Roman"/>
          <w:szCs w:val="30"/>
        </w:rPr>
        <w:t>第三</w:t>
      </w:r>
      <w:r>
        <w:rPr>
          <w:rFonts w:hint="eastAsia" w:ascii="Times New Roman" w:hAnsi="Times New Roman"/>
          <w:szCs w:val="30"/>
        </w:rPr>
        <w:t>部分</w:t>
      </w:r>
      <w:r>
        <w:rPr>
          <w:rFonts w:ascii="Times New Roman" w:hAnsi="Times New Roman"/>
          <w:szCs w:val="30"/>
        </w:rPr>
        <w:t xml:space="preserve"> 合同格式</w:t>
      </w:r>
      <w:r>
        <w:tab/>
      </w:r>
      <w:r>
        <w:fldChar w:fldCharType="begin"/>
      </w:r>
      <w:r>
        <w:instrText xml:space="preserve"> PAGEREF _Toc2463 </w:instrText>
      </w:r>
      <w:r>
        <w:fldChar w:fldCharType="separate"/>
      </w:r>
      <w:r>
        <w:t>12</w:t>
      </w:r>
      <w:r>
        <w:fldChar w:fldCharType="end"/>
      </w:r>
      <w:r>
        <w:rPr>
          <w:bCs/>
          <w:szCs w:val="28"/>
        </w:rPr>
        <w:fldChar w:fldCharType="end"/>
      </w:r>
    </w:p>
    <w:p>
      <w:pPr>
        <w:pStyle w:val="20"/>
        <w:tabs>
          <w:tab w:val="right" w:leader="dot" w:pos="9469"/>
          <w:tab w:val="clear" w:pos="9402"/>
        </w:tabs>
      </w:pPr>
      <w:r>
        <w:rPr>
          <w:bCs/>
          <w:szCs w:val="28"/>
        </w:rPr>
        <w:fldChar w:fldCharType="begin"/>
      </w:r>
      <w:r>
        <w:rPr>
          <w:bCs/>
          <w:szCs w:val="28"/>
        </w:rPr>
        <w:instrText xml:space="preserve"> HYPERLINK \l _Toc7964 </w:instrText>
      </w:r>
      <w:r>
        <w:rPr>
          <w:bCs/>
          <w:szCs w:val="28"/>
        </w:rPr>
        <w:fldChar w:fldCharType="separate"/>
      </w:r>
      <w:r>
        <w:rPr>
          <w:szCs w:val="30"/>
        </w:rPr>
        <w:t>第四</w:t>
      </w:r>
      <w:r>
        <w:rPr>
          <w:rFonts w:hint="eastAsia"/>
          <w:szCs w:val="30"/>
        </w:rPr>
        <w:t>部分</w:t>
      </w:r>
      <w:r>
        <w:rPr>
          <w:szCs w:val="30"/>
        </w:rPr>
        <w:t xml:space="preserve"> </w:t>
      </w:r>
      <w:r>
        <w:rPr>
          <w:rFonts w:hint="eastAsia"/>
          <w:szCs w:val="30"/>
        </w:rPr>
        <w:t>开标、评标和定标</w:t>
      </w:r>
      <w:r>
        <w:tab/>
      </w:r>
      <w:r>
        <w:fldChar w:fldCharType="begin"/>
      </w:r>
      <w:r>
        <w:instrText xml:space="preserve"> PAGEREF _Toc7964 </w:instrText>
      </w:r>
      <w:r>
        <w:fldChar w:fldCharType="separate"/>
      </w:r>
      <w:r>
        <w:t>17</w:t>
      </w:r>
      <w:r>
        <w:fldChar w:fldCharType="end"/>
      </w:r>
      <w:r>
        <w:rPr>
          <w:bCs/>
          <w:szCs w:val="28"/>
        </w:rPr>
        <w:fldChar w:fldCharType="end"/>
      </w:r>
    </w:p>
    <w:p>
      <w:pPr>
        <w:pStyle w:val="21"/>
        <w:tabs>
          <w:tab w:val="right" w:leader="dot" w:pos="9469"/>
        </w:tabs>
      </w:pPr>
      <w:r>
        <w:rPr>
          <w:bCs/>
          <w:szCs w:val="28"/>
        </w:rPr>
        <w:fldChar w:fldCharType="begin"/>
      </w:r>
      <w:r>
        <w:rPr>
          <w:bCs/>
          <w:szCs w:val="28"/>
        </w:rPr>
        <w:instrText xml:space="preserve"> HYPERLINK \l _Toc22694 </w:instrText>
      </w:r>
      <w:r>
        <w:rPr>
          <w:bCs/>
          <w:szCs w:val="28"/>
        </w:rPr>
        <w:fldChar w:fldCharType="separate"/>
      </w:r>
      <w:r>
        <w:rPr>
          <w:rFonts w:hint="default" w:ascii="Arial" w:hAnsi="Arial" w:eastAsia="宋体" w:cs="Arial"/>
          <w:i w:val="0"/>
          <w:szCs w:val="30"/>
        </w:rPr>
        <w:t xml:space="preserve">第一章 </w:t>
      </w:r>
      <w:r>
        <w:rPr>
          <w:rFonts w:hint="eastAsia" w:ascii="宋体" w:hAnsi="宋体" w:eastAsia="宋体" w:cs="Arial"/>
          <w:szCs w:val="28"/>
        </w:rPr>
        <w:t>评标原则</w:t>
      </w:r>
      <w:r>
        <w:tab/>
      </w:r>
      <w:r>
        <w:fldChar w:fldCharType="begin"/>
      </w:r>
      <w:r>
        <w:instrText xml:space="preserve"> PAGEREF _Toc22694 </w:instrText>
      </w:r>
      <w:r>
        <w:fldChar w:fldCharType="separate"/>
      </w:r>
      <w:r>
        <w:t>17</w:t>
      </w:r>
      <w:r>
        <w:fldChar w:fldCharType="end"/>
      </w:r>
      <w:r>
        <w:rPr>
          <w:bCs/>
          <w:szCs w:val="28"/>
        </w:rPr>
        <w:fldChar w:fldCharType="end"/>
      </w:r>
    </w:p>
    <w:p>
      <w:pPr>
        <w:pStyle w:val="21"/>
        <w:tabs>
          <w:tab w:val="right" w:leader="dot" w:pos="9469"/>
        </w:tabs>
      </w:pPr>
      <w:r>
        <w:rPr>
          <w:bCs/>
          <w:szCs w:val="28"/>
        </w:rPr>
        <w:fldChar w:fldCharType="begin"/>
      </w:r>
      <w:r>
        <w:rPr>
          <w:bCs/>
          <w:szCs w:val="28"/>
        </w:rPr>
        <w:instrText xml:space="preserve"> HYPERLINK \l _Toc31929 </w:instrText>
      </w:r>
      <w:r>
        <w:rPr>
          <w:bCs/>
          <w:szCs w:val="28"/>
        </w:rPr>
        <w:fldChar w:fldCharType="separate"/>
      </w:r>
      <w:r>
        <w:rPr>
          <w:rFonts w:hint="default" w:ascii="Arial" w:hAnsi="Arial" w:eastAsia="宋体" w:cs="Arial"/>
          <w:i w:val="0"/>
          <w:szCs w:val="30"/>
        </w:rPr>
        <w:t xml:space="preserve">第二章 </w:t>
      </w:r>
      <w:r>
        <w:rPr>
          <w:rFonts w:hint="eastAsia" w:ascii="宋体" w:hAnsi="宋体" w:eastAsia="宋体" w:cs="Arial"/>
          <w:szCs w:val="30"/>
        </w:rPr>
        <w:t>评标方法</w:t>
      </w:r>
      <w:r>
        <w:tab/>
      </w:r>
      <w:r>
        <w:fldChar w:fldCharType="begin"/>
      </w:r>
      <w:r>
        <w:instrText xml:space="preserve"> PAGEREF _Toc31929 </w:instrText>
      </w:r>
      <w:r>
        <w:fldChar w:fldCharType="separate"/>
      </w:r>
      <w:r>
        <w:t>19</w:t>
      </w:r>
      <w:r>
        <w:fldChar w:fldCharType="end"/>
      </w:r>
      <w:r>
        <w:rPr>
          <w:bCs/>
          <w:szCs w:val="28"/>
        </w:rPr>
        <w:fldChar w:fldCharType="end"/>
      </w:r>
    </w:p>
    <w:p>
      <w:pPr>
        <w:pStyle w:val="21"/>
        <w:tabs>
          <w:tab w:val="right" w:leader="dot" w:pos="9469"/>
        </w:tabs>
      </w:pPr>
      <w:r>
        <w:rPr>
          <w:bCs/>
          <w:szCs w:val="28"/>
        </w:rPr>
        <w:fldChar w:fldCharType="begin"/>
      </w:r>
      <w:r>
        <w:rPr>
          <w:bCs/>
          <w:szCs w:val="28"/>
        </w:rPr>
        <w:instrText xml:space="preserve"> HYPERLINK \l _Toc8798 </w:instrText>
      </w:r>
      <w:r>
        <w:rPr>
          <w:bCs/>
          <w:szCs w:val="28"/>
        </w:rPr>
        <w:fldChar w:fldCharType="separate"/>
      </w:r>
      <w:r>
        <w:rPr>
          <w:rFonts w:hint="default" w:ascii="Arial" w:hAnsi="Arial" w:eastAsia="宋体" w:cs="Arial"/>
          <w:i w:val="0"/>
          <w:szCs w:val="30"/>
        </w:rPr>
        <w:t xml:space="preserve">第三章 </w:t>
      </w:r>
      <w:r>
        <w:rPr>
          <w:rFonts w:hint="eastAsia" w:ascii="宋体" w:hAnsi="宋体" w:eastAsia="宋体" w:cs="Arial"/>
          <w:szCs w:val="30"/>
        </w:rPr>
        <w:t>样表格式</w:t>
      </w:r>
      <w:r>
        <w:tab/>
      </w:r>
      <w:r>
        <w:fldChar w:fldCharType="begin"/>
      </w:r>
      <w:r>
        <w:instrText xml:space="preserve"> PAGEREF _Toc8798 </w:instrText>
      </w:r>
      <w:r>
        <w:fldChar w:fldCharType="separate"/>
      </w:r>
      <w:r>
        <w:t>28</w:t>
      </w:r>
      <w:r>
        <w:fldChar w:fldCharType="end"/>
      </w:r>
      <w:r>
        <w:rPr>
          <w:bCs/>
          <w:szCs w:val="28"/>
        </w:rPr>
        <w:fldChar w:fldCharType="end"/>
      </w:r>
    </w:p>
    <w:p>
      <w:pPr>
        <w:pStyle w:val="15"/>
        <w:tabs>
          <w:tab w:val="right" w:leader="dot" w:pos="9469"/>
        </w:tabs>
      </w:pPr>
      <w:r>
        <w:rPr>
          <w:bCs/>
          <w:szCs w:val="28"/>
        </w:rPr>
        <w:fldChar w:fldCharType="begin"/>
      </w:r>
      <w:r>
        <w:rPr>
          <w:bCs/>
          <w:szCs w:val="28"/>
        </w:rPr>
        <w:instrText xml:space="preserve"> HYPERLINK \l _Toc12289 </w:instrText>
      </w:r>
      <w:r>
        <w:rPr>
          <w:bCs/>
          <w:szCs w:val="28"/>
        </w:rPr>
        <w:fldChar w:fldCharType="separate"/>
      </w:r>
      <w:r>
        <w:rPr>
          <w:rFonts w:hint="eastAsia" w:hAnsi="宋体" w:cs="Arial"/>
          <w:bCs w:val="0"/>
          <w:szCs w:val="28"/>
        </w:rPr>
        <w:t>附件1-1  投标函</w:t>
      </w:r>
      <w:r>
        <w:tab/>
      </w:r>
      <w:r>
        <w:fldChar w:fldCharType="begin"/>
      </w:r>
      <w:r>
        <w:instrText xml:space="preserve"> PAGEREF _Toc12289 </w:instrText>
      </w:r>
      <w:r>
        <w:fldChar w:fldCharType="separate"/>
      </w:r>
      <w:r>
        <w:t>28</w:t>
      </w:r>
      <w:r>
        <w:fldChar w:fldCharType="end"/>
      </w:r>
      <w:r>
        <w:rPr>
          <w:bCs/>
          <w:szCs w:val="28"/>
        </w:rPr>
        <w:fldChar w:fldCharType="end"/>
      </w:r>
    </w:p>
    <w:p>
      <w:pPr>
        <w:pStyle w:val="15"/>
        <w:tabs>
          <w:tab w:val="right" w:leader="dot" w:pos="9469"/>
        </w:tabs>
      </w:pPr>
      <w:r>
        <w:rPr>
          <w:bCs/>
          <w:szCs w:val="28"/>
        </w:rPr>
        <w:fldChar w:fldCharType="begin"/>
      </w:r>
      <w:r>
        <w:rPr>
          <w:bCs/>
          <w:szCs w:val="28"/>
        </w:rPr>
        <w:instrText xml:space="preserve"> HYPERLINK \l _Toc11985 </w:instrText>
      </w:r>
      <w:r>
        <w:rPr>
          <w:bCs/>
          <w:szCs w:val="28"/>
        </w:rPr>
        <w:fldChar w:fldCharType="separate"/>
      </w:r>
      <w:r>
        <w:rPr>
          <w:rFonts w:hint="eastAsia" w:hAnsi="宋体" w:cs="Arial"/>
          <w:bCs w:val="0"/>
          <w:szCs w:val="28"/>
        </w:rPr>
        <w:t>附件1-2  开标一览表</w:t>
      </w:r>
      <w:r>
        <w:tab/>
      </w:r>
      <w:r>
        <w:fldChar w:fldCharType="begin"/>
      </w:r>
      <w:r>
        <w:instrText xml:space="preserve"> PAGEREF _Toc11985 </w:instrText>
      </w:r>
      <w:r>
        <w:fldChar w:fldCharType="separate"/>
      </w:r>
      <w:r>
        <w:t>29</w:t>
      </w:r>
      <w:r>
        <w:fldChar w:fldCharType="end"/>
      </w:r>
      <w:r>
        <w:rPr>
          <w:bCs/>
          <w:szCs w:val="28"/>
        </w:rPr>
        <w:fldChar w:fldCharType="end"/>
      </w:r>
    </w:p>
    <w:p>
      <w:pPr>
        <w:pStyle w:val="15"/>
        <w:tabs>
          <w:tab w:val="right" w:leader="dot" w:pos="9469"/>
        </w:tabs>
      </w:pPr>
      <w:r>
        <w:rPr>
          <w:bCs/>
          <w:szCs w:val="28"/>
        </w:rPr>
        <w:fldChar w:fldCharType="begin"/>
      </w:r>
      <w:r>
        <w:rPr>
          <w:bCs/>
          <w:szCs w:val="28"/>
        </w:rPr>
        <w:instrText xml:space="preserve"> HYPERLINK \l _Toc4326 </w:instrText>
      </w:r>
      <w:r>
        <w:rPr>
          <w:bCs/>
          <w:szCs w:val="28"/>
        </w:rPr>
        <w:fldChar w:fldCharType="separate"/>
      </w:r>
      <w:r>
        <w:rPr>
          <w:rFonts w:hint="eastAsia" w:hAnsi="宋体" w:cs="Arial"/>
          <w:bCs w:val="0"/>
          <w:szCs w:val="28"/>
        </w:rPr>
        <w:t>附件1-3  投标响应与招标文件差异一览表</w:t>
      </w:r>
      <w:r>
        <w:tab/>
      </w:r>
      <w:r>
        <w:fldChar w:fldCharType="begin"/>
      </w:r>
      <w:r>
        <w:instrText xml:space="preserve"> PAGEREF _Toc4326 </w:instrText>
      </w:r>
      <w:r>
        <w:fldChar w:fldCharType="separate"/>
      </w:r>
      <w:r>
        <w:t>30</w:t>
      </w:r>
      <w:r>
        <w:fldChar w:fldCharType="end"/>
      </w:r>
      <w:r>
        <w:rPr>
          <w:bCs/>
          <w:szCs w:val="28"/>
        </w:rPr>
        <w:fldChar w:fldCharType="end"/>
      </w:r>
    </w:p>
    <w:p>
      <w:pPr>
        <w:pStyle w:val="15"/>
        <w:tabs>
          <w:tab w:val="right" w:leader="dot" w:pos="9469"/>
        </w:tabs>
      </w:pPr>
      <w:r>
        <w:rPr>
          <w:bCs/>
          <w:szCs w:val="28"/>
        </w:rPr>
        <w:fldChar w:fldCharType="begin"/>
      </w:r>
      <w:r>
        <w:rPr>
          <w:bCs/>
          <w:szCs w:val="28"/>
        </w:rPr>
        <w:instrText xml:space="preserve"> HYPERLINK \l _Toc3598 </w:instrText>
      </w:r>
      <w:r>
        <w:rPr>
          <w:bCs/>
          <w:szCs w:val="28"/>
        </w:rPr>
        <w:fldChar w:fldCharType="separate"/>
      </w:r>
      <w:r>
        <w:rPr>
          <w:rFonts w:hint="eastAsia" w:hAnsi="宋体" w:cs="Arial"/>
          <w:bCs w:val="0"/>
          <w:szCs w:val="28"/>
        </w:rPr>
        <w:t>附件1-4  实质性响应条款一览表</w:t>
      </w:r>
      <w:r>
        <w:tab/>
      </w:r>
      <w:r>
        <w:fldChar w:fldCharType="begin"/>
      </w:r>
      <w:r>
        <w:instrText xml:space="preserve"> PAGEREF _Toc3598 </w:instrText>
      </w:r>
      <w:r>
        <w:fldChar w:fldCharType="separate"/>
      </w:r>
      <w:r>
        <w:t>31</w:t>
      </w:r>
      <w:r>
        <w:fldChar w:fldCharType="end"/>
      </w:r>
      <w:r>
        <w:rPr>
          <w:bCs/>
          <w:szCs w:val="28"/>
        </w:rPr>
        <w:fldChar w:fldCharType="end"/>
      </w:r>
    </w:p>
    <w:p>
      <w:pPr>
        <w:pStyle w:val="15"/>
        <w:tabs>
          <w:tab w:val="right" w:leader="dot" w:pos="9469"/>
        </w:tabs>
      </w:pPr>
      <w:r>
        <w:rPr>
          <w:bCs/>
          <w:szCs w:val="28"/>
        </w:rPr>
        <w:fldChar w:fldCharType="begin"/>
      </w:r>
      <w:r>
        <w:rPr>
          <w:bCs/>
          <w:szCs w:val="28"/>
        </w:rPr>
        <w:instrText xml:space="preserve"> HYPERLINK \l _Toc12175 </w:instrText>
      </w:r>
      <w:r>
        <w:rPr>
          <w:bCs/>
          <w:szCs w:val="28"/>
        </w:rPr>
        <w:fldChar w:fldCharType="separate"/>
      </w:r>
      <w:r>
        <w:rPr>
          <w:rFonts w:hint="eastAsia" w:hAnsi="宋体" w:cs="Arial"/>
          <w:bCs w:val="0"/>
          <w:szCs w:val="28"/>
        </w:rPr>
        <w:t>附件1-5  投标人基本情况表</w:t>
      </w:r>
      <w:r>
        <w:tab/>
      </w:r>
      <w:r>
        <w:fldChar w:fldCharType="begin"/>
      </w:r>
      <w:r>
        <w:instrText xml:space="preserve"> PAGEREF _Toc12175 </w:instrText>
      </w:r>
      <w:r>
        <w:fldChar w:fldCharType="separate"/>
      </w:r>
      <w:r>
        <w:t>32</w:t>
      </w:r>
      <w:r>
        <w:fldChar w:fldCharType="end"/>
      </w:r>
      <w:r>
        <w:rPr>
          <w:bCs/>
          <w:szCs w:val="28"/>
        </w:rPr>
        <w:fldChar w:fldCharType="end"/>
      </w:r>
    </w:p>
    <w:p>
      <w:pPr>
        <w:pStyle w:val="15"/>
        <w:tabs>
          <w:tab w:val="right" w:leader="dot" w:pos="9469"/>
        </w:tabs>
      </w:pPr>
      <w:r>
        <w:rPr>
          <w:bCs/>
          <w:szCs w:val="28"/>
        </w:rPr>
        <w:fldChar w:fldCharType="begin"/>
      </w:r>
      <w:r>
        <w:rPr>
          <w:bCs/>
          <w:szCs w:val="28"/>
        </w:rPr>
        <w:instrText xml:space="preserve"> HYPERLINK \l _Toc13966 </w:instrText>
      </w:r>
      <w:r>
        <w:rPr>
          <w:bCs/>
          <w:szCs w:val="28"/>
        </w:rPr>
        <w:fldChar w:fldCharType="separate"/>
      </w:r>
      <w:r>
        <w:rPr>
          <w:rFonts w:hint="eastAsia" w:hAnsi="宋体" w:cs="Arial"/>
          <w:bCs w:val="0"/>
          <w:szCs w:val="28"/>
        </w:rPr>
        <w:t>附件1-6  项目主要负责人简历表</w:t>
      </w:r>
      <w:r>
        <w:tab/>
      </w:r>
      <w:r>
        <w:fldChar w:fldCharType="begin"/>
      </w:r>
      <w:r>
        <w:instrText xml:space="preserve"> PAGEREF _Toc13966 </w:instrText>
      </w:r>
      <w:r>
        <w:fldChar w:fldCharType="separate"/>
      </w:r>
      <w:r>
        <w:t>33</w:t>
      </w:r>
      <w:r>
        <w:fldChar w:fldCharType="end"/>
      </w:r>
      <w:r>
        <w:rPr>
          <w:bCs/>
          <w:szCs w:val="28"/>
        </w:rPr>
        <w:fldChar w:fldCharType="end"/>
      </w:r>
    </w:p>
    <w:p>
      <w:pPr>
        <w:pStyle w:val="15"/>
        <w:tabs>
          <w:tab w:val="right" w:leader="dot" w:pos="9469"/>
        </w:tabs>
      </w:pPr>
      <w:r>
        <w:rPr>
          <w:bCs/>
          <w:szCs w:val="28"/>
        </w:rPr>
        <w:fldChar w:fldCharType="begin"/>
      </w:r>
      <w:r>
        <w:rPr>
          <w:bCs/>
          <w:szCs w:val="28"/>
        </w:rPr>
        <w:instrText xml:space="preserve"> HYPERLINK \l _Toc31682 </w:instrText>
      </w:r>
      <w:r>
        <w:rPr>
          <w:bCs/>
          <w:szCs w:val="28"/>
        </w:rPr>
        <w:fldChar w:fldCharType="separate"/>
      </w:r>
      <w:r>
        <w:rPr>
          <w:rFonts w:hint="eastAsia" w:hAnsi="宋体" w:cs="Arial"/>
          <w:bCs w:val="0"/>
          <w:szCs w:val="28"/>
        </w:rPr>
        <w:t>附件1-7  承担本项目主要负责人及其他工作人员表</w:t>
      </w:r>
      <w:r>
        <w:tab/>
      </w:r>
      <w:r>
        <w:fldChar w:fldCharType="begin"/>
      </w:r>
      <w:r>
        <w:instrText xml:space="preserve"> PAGEREF _Toc31682 </w:instrText>
      </w:r>
      <w:r>
        <w:fldChar w:fldCharType="separate"/>
      </w:r>
      <w:r>
        <w:t>34</w:t>
      </w:r>
      <w:r>
        <w:fldChar w:fldCharType="end"/>
      </w:r>
      <w:r>
        <w:rPr>
          <w:bCs/>
          <w:szCs w:val="28"/>
        </w:rPr>
        <w:fldChar w:fldCharType="end"/>
      </w:r>
    </w:p>
    <w:p>
      <w:pPr>
        <w:pStyle w:val="15"/>
        <w:tabs>
          <w:tab w:val="right" w:leader="dot" w:pos="9469"/>
        </w:tabs>
      </w:pPr>
      <w:r>
        <w:rPr>
          <w:bCs/>
          <w:szCs w:val="28"/>
        </w:rPr>
        <w:fldChar w:fldCharType="begin"/>
      </w:r>
      <w:r>
        <w:rPr>
          <w:bCs/>
          <w:szCs w:val="28"/>
        </w:rPr>
        <w:instrText xml:space="preserve"> HYPERLINK \l _Toc1919 </w:instrText>
      </w:r>
      <w:r>
        <w:rPr>
          <w:bCs/>
          <w:szCs w:val="28"/>
        </w:rPr>
        <w:fldChar w:fldCharType="separate"/>
      </w:r>
      <w:r>
        <w:rPr>
          <w:rFonts w:hint="eastAsia" w:hAnsi="宋体" w:cs="Arial"/>
          <w:bCs w:val="0"/>
          <w:szCs w:val="28"/>
        </w:rPr>
        <w:t>附件1-8  近三年以来已完成同类型项目一览表</w:t>
      </w:r>
      <w:r>
        <w:tab/>
      </w:r>
      <w:r>
        <w:fldChar w:fldCharType="begin"/>
      </w:r>
      <w:r>
        <w:instrText xml:space="preserve"> PAGEREF _Toc1919 </w:instrText>
      </w:r>
      <w:r>
        <w:fldChar w:fldCharType="separate"/>
      </w:r>
      <w:r>
        <w:t>35</w:t>
      </w:r>
      <w:r>
        <w:fldChar w:fldCharType="end"/>
      </w:r>
      <w:r>
        <w:rPr>
          <w:bCs/>
          <w:szCs w:val="28"/>
        </w:rPr>
        <w:fldChar w:fldCharType="end"/>
      </w:r>
    </w:p>
    <w:p>
      <w:pPr>
        <w:spacing w:line="360" w:lineRule="auto"/>
        <w:jc w:val="center"/>
        <w:rPr>
          <w:bCs/>
          <w:sz w:val="28"/>
          <w:szCs w:val="28"/>
        </w:rPr>
        <w:sectPr>
          <w:footerReference r:id="rId4" w:type="first"/>
          <w:footerReference r:id="rId3" w:type="default"/>
          <w:pgSz w:w="11907" w:h="16840"/>
          <w:pgMar w:top="1304" w:right="1134" w:bottom="1134" w:left="1304" w:header="737" w:footer="567" w:gutter="0"/>
          <w:cols w:space="720" w:num="1"/>
          <w:titlePg/>
          <w:docGrid w:type="linesAndChars" w:linePitch="312" w:charSpace="0"/>
        </w:sectPr>
      </w:pPr>
      <w:r>
        <w:rPr>
          <w:bCs/>
          <w:szCs w:val="28"/>
        </w:rPr>
        <w:fldChar w:fldCharType="end"/>
      </w:r>
    </w:p>
    <w:p>
      <w:pPr>
        <w:pStyle w:val="2"/>
        <w:spacing w:line="360" w:lineRule="auto"/>
      </w:pPr>
      <w:bookmarkStart w:id="9" w:name="_Toc7016522"/>
      <w:bookmarkStart w:id="10" w:name="_Toc12965"/>
      <w:bookmarkStart w:id="11" w:name="_Toc31454"/>
      <w:bookmarkStart w:id="12" w:name="OLE_LINK3"/>
      <w:r>
        <w:rPr>
          <w:rFonts w:hint="eastAsia"/>
        </w:rPr>
        <w:t>招标公告</w:t>
      </w:r>
      <w:bookmarkEnd w:id="9"/>
      <w:bookmarkEnd w:id="10"/>
      <w:bookmarkEnd w:id="11"/>
    </w:p>
    <w:p>
      <w:pPr>
        <w:spacing w:line="360" w:lineRule="auto"/>
        <w:ind w:firstLine="480" w:firstLineChars="200"/>
        <w:jc w:val="left"/>
        <w:rPr>
          <w:sz w:val="24"/>
        </w:rPr>
      </w:pPr>
      <w:r>
        <w:rPr>
          <w:rStyle w:val="52"/>
          <w:sz w:val="24"/>
        </w:rPr>
        <w:t>广州市政务服务数据管理局(以下简称“采购人”)</w:t>
      </w:r>
      <w:r>
        <w:rPr>
          <w:rFonts w:hint="eastAsia"/>
        </w:rPr>
        <w:t xml:space="preserve"> </w:t>
      </w:r>
      <w:r>
        <w:rPr>
          <w:rStyle w:val="52"/>
          <w:rFonts w:hint="eastAsia"/>
          <w:sz w:val="24"/>
        </w:rPr>
        <w:t>对</w:t>
      </w:r>
      <w:r>
        <w:rPr>
          <w:rStyle w:val="52"/>
          <w:rFonts w:hint="eastAsia"/>
          <w:sz w:val="24"/>
          <w:lang w:eastAsia="zh-CN"/>
        </w:rPr>
        <w:t>广州移动政务服务平台设计咨询服务项目</w:t>
      </w:r>
      <w:r>
        <w:rPr>
          <w:rStyle w:val="52"/>
          <w:rFonts w:hint="eastAsia"/>
          <w:sz w:val="24"/>
        </w:rPr>
        <w:t>进行公开招标采购，欢迎符合资格条件的供应商投标。</w:t>
      </w:r>
    </w:p>
    <w:p>
      <w:pPr>
        <w:numPr>
          <w:ilvl w:val="0"/>
          <w:numId w:val="4"/>
        </w:numPr>
        <w:spacing w:line="360" w:lineRule="auto"/>
        <w:rPr>
          <w:b/>
          <w:sz w:val="24"/>
        </w:rPr>
      </w:pPr>
      <w:bookmarkStart w:id="13" w:name="_Toc12118314"/>
      <w:bookmarkStart w:id="14" w:name="_Toc46738397"/>
      <w:bookmarkStart w:id="15" w:name="_Toc46738270"/>
      <w:bookmarkStart w:id="16" w:name="_Toc46738136"/>
      <w:r>
        <w:rPr>
          <w:b/>
          <w:sz w:val="24"/>
        </w:rPr>
        <w:t>项目内容及要求</w:t>
      </w:r>
    </w:p>
    <w:p>
      <w:pPr>
        <w:spacing w:line="360" w:lineRule="auto"/>
        <w:jc w:val="left"/>
        <w:rPr>
          <w:sz w:val="24"/>
        </w:rPr>
      </w:pPr>
      <w:r>
        <w:rPr>
          <w:sz w:val="24"/>
        </w:rPr>
        <w:t xml:space="preserve">    项目名称：</w:t>
      </w:r>
      <w:r>
        <w:rPr>
          <w:rFonts w:hint="eastAsia" w:ascii="宋体" w:hAnsi="宋体"/>
          <w:sz w:val="24"/>
          <w:lang w:eastAsia="zh-CN"/>
        </w:rPr>
        <w:t>广州移动政务服务平台设计咨询服务项目</w:t>
      </w:r>
      <w:r>
        <w:rPr>
          <w:sz w:val="24"/>
        </w:rPr>
        <w:t>。</w:t>
      </w:r>
    </w:p>
    <w:p>
      <w:pPr>
        <w:spacing w:line="360" w:lineRule="auto"/>
        <w:ind w:firstLine="480" w:firstLineChars="200"/>
        <w:rPr>
          <w:sz w:val="24"/>
        </w:rPr>
      </w:pPr>
      <w:r>
        <w:rPr>
          <w:sz w:val="24"/>
        </w:rPr>
        <w:t>项目地址：广州市天河区珠江新城华利路61号</w:t>
      </w:r>
      <w:r>
        <w:rPr>
          <w:rFonts w:hint="eastAsia"/>
          <w:sz w:val="24"/>
        </w:rPr>
        <w:t>。</w:t>
      </w:r>
    </w:p>
    <w:p>
      <w:pPr>
        <w:spacing w:line="360" w:lineRule="auto"/>
        <w:ind w:firstLine="482" w:firstLineChars="200"/>
        <w:rPr>
          <w:b/>
          <w:sz w:val="24"/>
        </w:rPr>
      </w:pPr>
      <w:r>
        <w:rPr>
          <w:b/>
          <w:sz w:val="24"/>
        </w:rPr>
        <w:t>最高限价（含税）：</w:t>
      </w:r>
      <w:r>
        <w:rPr>
          <w:rFonts w:hint="eastAsia"/>
          <w:b/>
          <w:sz w:val="24"/>
          <w:lang w:val="en-US" w:eastAsia="zh-CN"/>
        </w:rPr>
        <w:t>482</w:t>
      </w:r>
      <w:r>
        <w:rPr>
          <w:b/>
          <w:sz w:val="24"/>
        </w:rPr>
        <w:t>,000.00元。</w:t>
      </w:r>
    </w:p>
    <w:p>
      <w:pPr>
        <w:numPr>
          <w:ilvl w:val="0"/>
          <w:numId w:val="4"/>
        </w:numPr>
        <w:spacing w:line="360" w:lineRule="auto"/>
        <w:rPr>
          <w:sz w:val="24"/>
          <w:szCs w:val="28"/>
        </w:rPr>
      </w:pPr>
      <w:r>
        <w:rPr>
          <w:rFonts w:hint="eastAsia"/>
          <w:b/>
          <w:sz w:val="24"/>
          <w:szCs w:val="28"/>
        </w:rPr>
        <w:t>招标文件发布时间：</w:t>
      </w:r>
      <w:r>
        <w:rPr>
          <w:rFonts w:hint="eastAsia"/>
          <w:sz w:val="24"/>
          <w:szCs w:val="28"/>
        </w:rPr>
        <w:t>2020年5月</w:t>
      </w:r>
      <w:r>
        <w:rPr>
          <w:rFonts w:hint="eastAsia"/>
          <w:sz w:val="24"/>
          <w:szCs w:val="28"/>
          <w:lang w:val="en-US" w:eastAsia="zh-CN"/>
        </w:rPr>
        <w:t>22</w:t>
      </w:r>
      <w:r>
        <w:rPr>
          <w:rFonts w:hint="eastAsia"/>
          <w:sz w:val="24"/>
          <w:szCs w:val="28"/>
        </w:rPr>
        <w:t>日。</w:t>
      </w:r>
    </w:p>
    <w:p>
      <w:pPr>
        <w:numPr>
          <w:ilvl w:val="0"/>
          <w:numId w:val="4"/>
        </w:numPr>
        <w:spacing w:line="360" w:lineRule="auto"/>
        <w:rPr>
          <w:sz w:val="24"/>
          <w:szCs w:val="28"/>
        </w:rPr>
      </w:pPr>
      <w:r>
        <w:rPr>
          <w:rFonts w:hint="eastAsia"/>
          <w:b/>
          <w:sz w:val="24"/>
          <w:szCs w:val="28"/>
        </w:rPr>
        <w:t>招标文件发布地点：</w:t>
      </w:r>
      <w:r>
        <w:rPr>
          <w:rFonts w:hint="eastAsia" w:ascii="宋体" w:hAnsi="宋体"/>
          <w:sz w:val="24"/>
        </w:rPr>
        <w:t>广州市政务服务数据管理局</w:t>
      </w:r>
      <w:r>
        <w:rPr>
          <w:rFonts w:hint="eastAsia"/>
          <w:sz w:val="24"/>
          <w:szCs w:val="28"/>
        </w:rPr>
        <w:t>官方网站（zsj</w:t>
      </w:r>
      <w:r>
        <w:rPr>
          <w:sz w:val="24"/>
          <w:szCs w:val="28"/>
        </w:rPr>
        <w:t>.gz.gov.cn</w:t>
      </w:r>
      <w:r>
        <w:rPr>
          <w:rFonts w:hint="eastAsia"/>
          <w:sz w:val="24"/>
          <w:szCs w:val="28"/>
        </w:rPr>
        <w:t>）“通知公告”栏目自行下载（本公告附件）。</w:t>
      </w:r>
    </w:p>
    <w:p>
      <w:pPr>
        <w:numPr>
          <w:ilvl w:val="0"/>
          <w:numId w:val="4"/>
        </w:numPr>
        <w:spacing w:line="360" w:lineRule="auto"/>
        <w:rPr>
          <w:sz w:val="24"/>
          <w:szCs w:val="28"/>
        </w:rPr>
      </w:pPr>
      <w:r>
        <w:rPr>
          <w:rFonts w:hint="eastAsia"/>
          <w:b/>
          <w:sz w:val="24"/>
          <w:szCs w:val="28"/>
        </w:rPr>
        <w:t>提交投标文件时间：</w:t>
      </w:r>
      <w:r>
        <w:rPr>
          <w:rFonts w:hint="eastAsia"/>
          <w:sz w:val="24"/>
          <w:szCs w:val="28"/>
        </w:rPr>
        <w:t>2020年5月</w:t>
      </w:r>
      <w:r>
        <w:rPr>
          <w:rFonts w:hint="eastAsia"/>
          <w:sz w:val="24"/>
          <w:szCs w:val="28"/>
          <w:lang w:val="en-US" w:eastAsia="zh-CN"/>
        </w:rPr>
        <w:t>22</w:t>
      </w:r>
      <w:r>
        <w:rPr>
          <w:rFonts w:hint="eastAsia"/>
          <w:sz w:val="24"/>
          <w:szCs w:val="28"/>
        </w:rPr>
        <w:t>日公告之时起至2020年5月</w:t>
      </w:r>
      <w:r>
        <w:rPr>
          <w:rFonts w:hint="eastAsia"/>
          <w:sz w:val="24"/>
          <w:szCs w:val="28"/>
          <w:lang w:val="en-US" w:eastAsia="zh-CN"/>
        </w:rPr>
        <w:t>28</w:t>
      </w:r>
      <w:r>
        <w:rPr>
          <w:rFonts w:hint="eastAsia"/>
          <w:sz w:val="24"/>
          <w:szCs w:val="28"/>
        </w:rPr>
        <w:t>日</w:t>
      </w:r>
      <w:r>
        <w:rPr>
          <w:sz w:val="24"/>
          <w:szCs w:val="28"/>
        </w:rPr>
        <w:t>17</w:t>
      </w:r>
      <w:r>
        <w:rPr>
          <w:rFonts w:hint="eastAsia"/>
          <w:sz w:val="24"/>
          <w:szCs w:val="28"/>
        </w:rPr>
        <w:t>:</w:t>
      </w:r>
      <w:r>
        <w:rPr>
          <w:sz w:val="24"/>
          <w:szCs w:val="28"/>
        </w:rPr>
        <w:t>0</w:t>
      </w:r>
      <w:r>
        <w:rPr>
          <w:rFonts w:hint="eastAsia"/>
          <w:sz w:val="24"/>
          <w:szCs w:val="28"/>
        </w:rPr>
        <w:t>0。投标在工作日进行，节假日不接受投标。工作时间：周一至周五上午9:00－12:00，下午13:00－17:00。</w:t>
      </w:r>
    </w:p>
    <w:p>
      <w:pPr>
        <w:numPr>
          <w:ilvl w:val="0"/>
          <w:numId w:val="4"/>
        </w:numPr>
        <w:spacing w:line="360" w:lineRule="auto"/>
        <w:rPr>
          <w:sz w:val="24"/>
          <w:szCs w:val="28"/>
        </w:rPr>
      </w:pPr>
      <w:r>
        <w:rPr>
          <w:rFonts w:hint="eastAsia"/>
          <w:b/>
          <w:sz w:val="24"/>
          <w:szCs w:val="28"/>
        </w:rPr>
        <w:t>提交投标文件截止时间：</w:t>
      </w:r>
      <w:r>
        <w:rPr>
          <w:rFonts w:hint="eastAsia"/>
          <w:sz w:val="24"/>
          <w:szCs w:val="28"/>
        </w:rPr>
        <w:t>2020年5月</w:t>
      </w:r>
      <w:r>
        <w:rPr>
          <w:rFonts w:hint="eastAsia"/>
          <w:sz w:val="24"/>
          <w:szCs w:val="28"/>
          <w:lang w:val="en-US" w:eastAsia="zh-CN"/>
        </w:rPr>
        <w:t>28</w:t>
      </w:r>
      <w:r>
        <w:rPr>
          <w:rFonts w:hint="eastAsia"/>
          <w:sz w:val="24"/>
          <w:szCs w:val="28"/>
        </w:rPr>
        <w:t>日</w:t>
      </w:r>
      <w:r>
        <w:rPr>
          <w:sz w:val="24"/>
          <w:szCs w:val="28"/>
        </w:rPr>
        <w:t>17</w:t>
      </w:r>
      <w:r>
        <w:rPr>
          <w:rFonts w:hint="eastAsia"/>
          <w:sz w:val="24"/>
          <w:szCs w:val="28"/>
        </w:rPr>
        <w:t>:</w:t>
      </w:r>
      <w:r>
        <w:rPr>
          <w:sz w:val="24"/>
          <w:szCs w:val="28"/>
        </w:rPr>
        <w:t>0</w:t>
      </w:r>
      <w:r>
        <w:rPr>
          <w:rFonts w:hint="eastAsia"/>
          <w:sz w:val="24"/>
          <w:szCs w:val="28"/>
        </w:rPr>
        <w:t>0。</w:t>
      </w:r>
    </w:p>
    <w:p>
      <w:pPr>
        <w:numPr>
          <w:ilvl w:val="0"/>
          <w:numId w:val="4"/>
        </w:numPr>
        <w:spacing w:line="360" w:lineRule="auto"/>
        <w:rPr>
          <w:sz w:val="24"/>
          <w:szCs w:val="28"/>
        </w:rPr>
      </w:pPr>
      <w:r>
        <w:rPr>
          <w:rFonts w:hint="eastAsia"/>
          <w:b/>
          <w:sz w:val="24"/>
          <w:szCs w:val="28"/>
        </w:rPr>
        <w:t>供应商提交投标文件的方式：</w:t>
      </w:r>
      <w:r>
        <w:rPr>
          <w:rFonts w:hint="eastAsia"/>
          <w:sz w:val="24"/>
          <w:szCs w:val="28"/>
        </w:rPr>
        <w:t>将纸质</w:t>
      </w:r>
      <w:r>
        <w:rPr>
          <w:sz w:val="24"/>
        </w:rPr>
        <w:t>投标文件通过邮政、快递或亲自上门方式送达。需同时提供与纸质投标文件一致的电子版</w:t>
      </w:r>
      <w:r>
        <w:rPr>
          <w:rFonts w:hint="eastAsia"/>
          <w:sz w:val="24"/>
        </w:rPr>
        <w:t>投标文件</w:t>
      </w:r>
      <w:r>
        <w:rPr>
          <w:sz w:val="24"/>
        </w:rPr>
        <w:t>（</w:t>
      </w:r>
      <w:r>
        <w:rPr>
          <w:rFonts w:hint="eastAsia"/>
          <w:sz w:val="24"/>
        </w:rPr>
        <w:t>用光盘刻录，投标文件纸质版与电子版不一致时，以纸质版为准</w:t>
      </w:r>
      <w:r>
        <w:rPr>
          <w:sz w:val="24"/>
        </w:rPr>
        <w:t>）。</w:t>
      </w:r>
    </w:p>
    <w:p>
      <w:pPr>
        <w:numPr>
          <w:ilvl w:val="0"/>
          <w:numId w:val="4"/>
        </w:numPr>
        <w:spacing w:line="360" w:lineRule="auto"/>
        <w:rPr>
          <w:sz w:val="24"/>
          <w:szCs w:val="28"/>
        </w:rPr>
      </w:pPr>
      <w:r>
        <w:rPr>
          <w:rFonts w:hint="eastAsia"/>
          <w:b/>
          <w:sz w:val="24"/>
          <w:szCs w:val="28"/>
        </w:rPr>
        <w:t>开标时间：</w:t>
      </w:r>
      <w:r>
        <w:rPr>
          <w:rFonts w:hint="eastAsia"/>
          <w:sz w:val="24"/>
          <w:szCs w:val="28"/>
        </w:rPr>
        <w:t>2020年5月</w:t>
      </w:r>
      <w:r>
        <w:rPr>
          <w:rFonts w:hint="eastAsia"/>
          <w:sz w:val="24"/>
          <w:szCs w:val="28"/>
          <w:lang w:val="en-US" w:eastAsia="zh-CN"/>
        </w:rPr>
        <w:t>29</w:t>
      </w:r>
      <w:r>
        <w:rPr>
          <w:rFonts w:hint="eastAsia"/>
          <w:sz w:val="24"/>
          <w:szCs w:val="28"/>
        </w:rPr>
        <w:t>日 9:30。</w:t>
      </w:r>
    </w:p>
    <w:p>
      <w:pPr>
        <w:numPr>
          <w:ilvl w:val="0"/>
          <w:numId w:val="4"/>
        </w:numPr>
        <w:spacing w:line="360" w:lineRule="auto"/>
        <w:rPr>
          <w:sz w:val="24"/>
          <w:szCs w:val="28"/>
        </w:rPr>
      </w:pPr>
      <w:r>
        <w:rPr>
          <w:rFonts w:hint="eastAsia"/>
          <w:b/>
          <w:sz w:val="24"/>
          <w:szCs w:val="28"/>
        </w:rPr>
        <w:t>投标文件解密时间：</w:t>
      </w:r>
      <w:r>
        <w:rPr>
          <w:rFonts w:hint="eastAsia"/>
          <w:sz w:val="24"/>
          <w:szCs w:val="28"/>
        </w:rPr>
        <w:t>2020年5月</w:t>
      </w:r>
      <w:r>
        <w:rPr>
          <w:rFonts w:hint="eastAsia"/>
          <w:sz w:val="24"/>
          <w:szCs w:val="28"/>
          <w:lang w:val="en-US" w:eastAsia="zh-CN"/>
        </w:rPr>
        <w:t>29</w:t>
      </w:r>
      <w:r>
        <w:rPr>
          <w:rFonts w:hint="eastAsia"/>
          <w:sz w:val="24"/>
          <w:szCs w:val="28"/>
        </w:rPr>
        <w:t>日 9:30。</w:t>
      </w:r>
    </w:p>
    <w:p>
      <w:pPr>
        <w:numPr>
          <w:ilvl w:val="0"/>
          <w:numId w:val="4"/>
        </w:numPr>
        <w:spacing w:line="360" w:lineRule="auto"/>
        <w:rPr>
          <w:sz w:val="24"/>
          <w:szCs w:val="28"/>
        </w:rPr>
      </w:pPr>
      <w:r>
        <w:rPr>
          <w:rFonts w:hint="eastAsia"/>
          <w:b/>
          <w:sz w:val="24"/>
          <w:szCs w:val="28"/>
        </w:rPr>
        <w:t>开标地点：</w:t>
      </w:r>
      <w:r>
        <w:rPr>
          <w:sz w:val="24"/>
          <w:szCs w:val="28"/>
        </w:rPr>
        <w:t>广州市天河区珠江新城华利路61号</w:t>
      </w:r>
      <w:r>
        <w:rPr>
          <w:rFonts w:hint="eastAsia"/>
          <w:sz w:val="24"/>
          <w:szCs w:val="28"/>
        </w:rPr>
        <w:t>728会议室。</w:t>
      </w:r>
    </w:p>
    <w:p>
      <w:pPr>
        <w:spacing w:line="360" w:lineRule="auto"/>
        <w:ind w:left="425"/>
        <w:rPr>
          <w:sz w:val="24"/>
          <w:szCs w:val="28"/>
        </w:rPr>
      </w:pPr>
      <w:r>
        <w:rPr>
          <w:rFonts w:hint="eastAsia"/>
          <w:sz w:val="24"/>
          <w:szCs w:val="28"/>
        </w:rPr>
        <w:t>请投标人代表携带身份证、委托书按时抵达成交开标地点</w:t>
      </w:r>
      <w:bookmarkStart w:id="245" w:name="_GoBack"/>
      <w:bookmarkEnd w:id="245"/>
      <w:r>
        <w:rPr>
          <w:rFonts w:hint="eastAsia"/>
          <w:sz w:val="24"/>
          <w:szCs w:val="28"/>
        </w:rPr>
        <w:t>。</w:t>
      </w:r>
    </w:p>
    <w:bookmarkEnd w:id="13"/>
    <w:bookmarkEnd w:id="14"/>
    <w:bookmarkEnd w:id="15"/>
    <w:bookmarkEnd w:id="16"/>
    <w:p>
      <w:pPr>
        <w:numPr>
          <w:ilvl w:val="0"/>
          <w:numId w:val="4"/>
        </w:numPr>
        <w:spacing w:line="360" w:lineRule="auto"/>
        <w:rPr>
          <w:b/>
          <w:sz w:val="24"/>
        </w:rPr>
      </w:pPr>
      <w:bookmarkStart w:id="17" w:name="_Toc46738137"/>
      <w:bookmarkStart w:id="18" w:name="_Toc46738398"/>
      <w:bookmarkStart w:id="19" w:name="_Toc12118315"/>
      <w:bookmarkStart w:id="20" w:name="_Toc46738271"/>
      <w:r>
        <w:rPr>
          <w:b/>
          <w:sz w:val="24"/>
        </w:rPr>
        <w:t>关于采购文件</w:t>
      </w:r>
      <w:bookmarkEnd w:id="17"/>
      <w:bookmarkEnd w:id="18"/>
      <w:bookmarkEnd w:id="19"/>
      <w:bookmarkEnd w:id="20"/>
    </w:p>
    <w:p>
      <w:pPr>
        <w:numPr>
          <w:ilvl w:val="1"/>
          <w:numId w:val="4"/>
        </w:numPr>
        <w:spacing w:line="360" w:lineRule="auto"/>
        <w:rPr>
          <w:sz w:val="24"/>
        </w:rPr>
      </w:pPr>
      <w:r>
        <w:rPr>
          <w:sz w:val="24"/>
        </w:rPr>
        <w:t>本采购文件仅适用于本次采购活动所叙述的项目。</w:t>
      </w:r>
    </w:p>
    <w:p>
      <w:pPr>
        <w:numPr>
          <w:ilvl w:val="1"/>
          <w:numId w:val="4"/>
        </w:numPr>
        <w:spacing w:line="360" w:lineRule="auto"/>
        <w:rPr>
          <w:sz w:val="24"/>
        </w:rPr>
      </w:pPr>
      <w:r>
        <w:rPr>
          <w:b/>
          <w:bCs/>
          <w:sz w:val="24"/>
        </w:rPr>
        <w:t>本采购文件中凡标有“</w:t>
      </w:r>
      <w:r>
        <w:rPr>
          <w:rFonts w:ascii="Segoe UI Symbol" w:hAnsi="Segoe UI Symbol" w:cs="Segoe UI Symbol"/>
          <w:b/>
          <w:bCs/>
          <w:sz w:val="24"/>
        </w:rPr>
        <w:t>★</w:t>
      </w:r>
      <w:r>
        <w:rPr>
          <w:b/>
          <w:bCs/>
          <w:sz w:val="24"/>
        </w:rPr>
        <w:t>”的地方均被视为实质性响应条款。投标人要特别加以注意，必须对此具体、明确响应并完全满足这些要求。否则若有一项带“</w:t>
      </w:r>
      <w:r>
        <w:rPr>
          <w:rFonts w:ascii="Segoe UI Symbol" w:hAnsi="Segoe UI Symbol" w:cs="Segoe UI Symbol"/>
          <w:b/>
          <w:bCs/>
          <w:sz w:val="24"/>
        </w:rPr>
        <w:t>★</w:t>
      </w:r>
      <w:r>
        <w:rPr>
          <w:b/>
          <w:bCs/>
          <w:sz w:val="24"/>
        </w:rPr>
        <w:t>”的指标未响应或不满足，将按投标无效处理</w:t>
      </w:r>
      <w:r>
        <w:rPr>
          <w:sz w:val="24"/>
        </w:rPr>
        <w:t>。</w:t>
      </w:r>
    </w:p>
    <w:p>
      <w:pPr>
        <w:numPr>
          <w:ilvl w:val="0"/>
          <w:numId w:val="4"/>
        </w:numPr>
        <w:spacing w:line="360" w:lineRule="auto"/>
        <w:rPr>
          <w:b/>
          <w:sz w:val="24"/>
        </w:rPr>
      </w:pPr>
      <w:r>
        <w:rPr>
          <w:b/>
          <w:sz w:val="24"/>
        </w:rPr>
        <w:t>投标人资格及要求</w:t>
      </w:r>
    </w:p>
    <w:p>
      <w:pPr>
        <w:pStyle w:val="13"/>
        <w:spacing w:line="360" w:lineRule="auto"/>
        <w:ind w:firstLine="480" w:firstLineChars="200"/>
        <w:rPr>
          <w:sz w:val="24"/>
        </w:rPr>
      </w:pPr>
      <w:bookmarkStart w:id="21" w:name="_Hlk3497712"/>
      <w:r>
        <w:rPr>
          <w:rFonts w:hint="eastAsia"/>
          <w:sz w:val="24"/>
        </w:rPr>
        <w:t>（一）符合《政府采购法》第二十二条所规定的条件；分支机构投标的，必须由总公司（总所）授权【依据《投标人资格声明函》及其附件、分支机构的营业执照（执业许可证）扫描件及总公司（总所）出具给分支机构的授权书】。</w:t>
      </w:r>
    </w:p>
    <w:p>
      <w:pPr>
        <w:pStyle w:val="13"/>
        <w:spacing w:line="360" w:lineRule="auto"/>
        <w:ind w:firstLine="480" w:firstLineChars="200"/>
        <w:rPr>
          <w:sz w:val="24"/>
        </w:rPr>
      </w:pPr>
      <w:r>
        <w:rPr>
          <w:rFonts w:hint="eastAsia"/>
          <w:sz w:val="24"/>
        </w:rPr>
        <w:t>（二）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p>
      <w:pPr>
        <w:pStyle w:val="13"/>
        <w:spacing w:line="360" w:lineRule="auto"/>
        <w:ind w:firstLine="480" w:firstLineChars="200"/>
        <w:rPr>
          <w:sz w:val="24"/>
        </w:rPr>
      </w:pPr>
      <w:r>
        <w:rPr>
          <w:rFonts w:hint="eastAsia"/>
          <w:sz w:val="24"/>
        </w:rPr>
        <w:t>（三）</w:t>
      </w:r>
      <w:bookmarkEnd w:id="21"/>
      <w:r>
        <w:rPr>
          <w:rFonts w:hint="eastAsia"/>
          <w:sz w:val="24"/>
        </w:rPr>
        <w:t>本项目不接受联合体投标。</w:t>
      </w:r>
    </w:p>
    <w:bookmarkEnd w:id="12"/>
    <w:p>
      <w:pPr>
        <w:numPr>
          <w:ilvl w:val="0"/>
          <w:numId w:val="4"/>
        </w:numPr>
        <w:spacing w:line="360" w:lineRule="auto"/>
        <w:rPr>
          <w:b/>
          <w:sz w:val="24"/>
        </w:rPr>
      </w:pPr>
      <w:r>
        <w:rPr>
          <w:rFonts w:hint="eastAsia"/>
          <w:b/>
          <w:sz w:val="24"/>
        </w:rPr>
        <w:t>联系方式</w:t>
      </w:r>
    </w:p>
    <w:p>
      <w:pPr>
        <w:spacing w:line="360" w:lineRule="auto"/>
        <w:ind w:left="425"/>
        <w:rPr>
          <w:sz w:val="24"/>
          <w:szCs w:val="28"/>
        </w:rPr>
      </w:pPr>
      <w:r>
        <w:rPr>
          <w:rFonts w:hint="eastAsia"/>
          <w:sz w:val="24"/>
          <w:szCs w:val="28"/>
        </w:rPr>
        <w:t>投标文件寄送地址：广州市天河区珠江新城华利路61号7</w:t>
      </w:r>
      <w:r>
        <w:rPr>
          <w:sz w:val="24"/>
          <w:szCs w:val="28"/>
        </w:rPr>
        <w:t>26</w:t>
      </w:r>
      <w:r>
        <w:rPr>
          <w:rFonts w:hint="eastAsia"/>
          <w:sz w:val="24"/>
          <w:szCs w:val="28"/>
        </w:rPr>
        <w:t>办公室</w:t>
      </w:r>
    </w:p>
    <w:p>
      <w:pPr>
        <w:spacing w:line="360" w:lineRule="auto"/>
        <w:ind w:left="425"/>
        <w:rPr>
          <w:rFonts w:hint="default" w:eastAsia="宋体"/>
          <w:sz w:val="24"/>
          <w:szCs w:val="28"/>
          <w:highlight w:val="yellow"/>
          <w:lang w:val="en-US" w:eastAsia="zh-CN"/>
        </w:rPr>
      </w:pPr>
      <w:r>
        <w:rPr>
          <w:rFonts w:hint="eastAsia"/>
          <w:sz w:val="24"/>
          <w:szCs w:val="28"/>
        </w:rPr>
        <w:t>收投标文件联系人：</w:t>
      </w:r>
      <w:r>
        <w:rPr>
          <w:rFonts w:hint="eastAsia"/>
          <w:sz w:val="24"/>
          <w:szCs w:val="28"/>
          <w:lang w:eastAsia="zh-CN"/>
        </w:rPr>
        <w:t>苏新宇</w:t>
      </w:r>
      <w:r>
        <w:rPr>
          <w:rFonts w:hint="eastAsia"/>
          <w:sz w:val="24"/>
          <w:szCs w:val="28"/>
        </w:rPr>
        <w:t>；联系电话：38920711</w:t>
      </w:r>
    </w:p>
    <w:p>
      <w:pPr>
        <w:spacing w:line="360" w:lineRule="auto"/>
        <w:ind w:left="425"/>
        <w:rPr>
          <w:sz w:val="24"/>
          <w:szCs w:val="28"/>
        </w:rPr>
      </w:pPr>
      <w:r>
        <w:rPr>
          <w:rFonts w:hint="eastAsia"/>
          <w:sz w:val="24"/>
          <w:szCs w:val="28"/>
        </w:rPr>
        <w:t>咨询联系人：</w:t>
      </w:r>
      <w:r>
        <w:rPr>
          <w:rFonts w:hint="eastAsia"/>
          <w:sz w:val="24"/>
          <w:szCs w:val="28"/>
          <w:lang w:eastAsia="zh-CN"/>
        </w:rPr>
        <w:t>林乐</w:t>
      </w:r>
      <w:r>
        <w:rPr>
          <w:rFonts w:hint="eastAsia"/>
          <w:sz w:val="24"/>
          <w:szCs w:val="28"/>
        </w:rPr>
        <w:t>；联系电话：38920335</w:t>
      </w:r>
    </w:p>
    <w:p>
      <w:pPr>
        <w:pStyle w:val="25"/>
        <w:spacing w:before="0" w:after="0" w:line="360" w:lineRule="auto"/>
        <w:ind w:left="839" w:hanging="839"/>
        <w:rPr>
          <w:rFonts w:ascii="宋体" w:hAnsi="宋体" w:cs="Arial"/>
          <w:sz w:val="24"/>
          <w:szCs w:val="28"/>
        </w:rPr>
      </w:pPr>
      <w:r>
        <w:rPr>
          <w:sz w:val="24"/>
        </w:rPr>
        <w:br w:type="page"/>
      </w:r>
      <w:bookmarkStart w:id="22" w:name="_Toc46738396"/>
      <w:bookmarkStart w:id="23" w:name="_Toc46738135"/>
      <w:bookmarkStart w:id="24" w:name="_Toc75917298"/>
      <w:bookmarkStart w:id="25" w:name="_Toc7016523"/>
      <w:bookmarkStart w:id="26" w:name="_Toc3627188"/>
      <w:bookmarkStart w:id="27" w:name="_Toc46738269"/>
      <w:bookmarkStart w:id="28" w:name="_Toc12118313"/>
      <w:bookmarkStart w:id="29" w:name="_Toc23187"/>
      <w:bookmarkStart w:id="30" w:name="_Toc513448408"/>
      <w:bookmarkStart w:id="31" w:name="_Toc25619"/>
      <w:r>
        <w:rPr>
          <w:rFonts w:hint="eastAsia" w:ascii="Times New Roman" w:hAnsi="Times New Roman"/>
          <w:sz w:val="30"/>
          <w:szCs w:val="30"/>
        </w:rPr>
        <w:t>第一部分 投标须知</w:t>
      </w:r>
      <w:bookmarkEnd w:id="22"/>
      <w:bookmarkEnd w:id="23"/>
      <w:bookmarkEnd w:id="24"/>
      <w:bookmarkEnd w:id="25"/>
      <w:bookmarkEnd w:id="26"/>
      <w:bookmarkEnd w:id="27"/>
      <w:bookmarkEnd w:id="28"/>
      <w:bookmarkEnd w:id="29"/>
      <w:bookmarkEnd w:id="30"/>
      <w:bookmarkEnd w:id="31"/>
    </w:p>
    <w:p>
      <w:pPr>
        <w:spacing w:line="360" w:lineRule="auto"/>
        <w:ind w:left="420"/>
        <w:rPr>
          <w:rFonts w:ascii="宋体" w:hAnsi="宋体" w:cs="Arial"/>
          <w:sz w:val="24"/>
          <w:szCs w:val="28"/>
        </w:rPr>
      </w:pPr>
    </w:p>
    <w:p>
      <w:pPr>
        <w:spacing w:line="360" w:lineRule="auto"/>
        <w:ind w:left="420"/>
        <w:rPr>
          <w:rFonts w:ascii="宋体" w:hAnsi="宋体" w:cs="Arial"/>
          <w:sz w:val="24"/>
          <w:szCs w:val="28"/>
        </w:rPr>
      </w:pPr>
      <w:r>
        <w:rPr>
          <w:rFonts w:hint="eastAsia" w:ascii="宋体" w:hAnsi="宋体" w:cs="Arial"/>
          <w:sz w:val="24"/>
          <w:szCs w:val="28"/>
        </w:rPr>
        <w:t>投标人必须认真阅读以下内容，以免造成投标失败。</w:t>
      </w:r>
    </w:p>
    <w:p>
      <w:pPr>
        <w:numPr>
          <w:ilvl w:val="0"/>
          <w:numId w:val="5"/>
        </w:numPr>
        <w:spacing w:line="360" w:lineRule="auto"/>
        <w:rPr>
          <w:rFonts w:ascii="宋体" w:hAnsi="宋体" w:cs="Arial"/>
          <w:b/>
          <w:sz w:val="24"/>
          <w:szCs w:val="28"/>
        </w:rPr>
      </w:pPr>
      <w:r>
        <w:rPr>
          <w:rFonts w:hint="eastAsia" w:ascii="宋体" w:hAnsi="宋体" w:cs="Arial"/>
          <w:b/>
          <w:sz w:val="24"/>
          <w:szCs w:val="28"/>
        </w:rPr>
        <w:t>名词解释</w:t>
      </w:r>
    </w:p>
    <w:p>
      <w:pPr>
        <w:numPr>
          <w:ilvl w:val="1"/>
          <w:numId w:val="5"/>
        </w:numPr>
        <w:spacing w:line="360" w:lineRule="auto"/>
        <w:rPr>
          <w:rFonts w:ascii="宋体" w:hAnsi="宋体" w:cs="Arial"/>
          <w:sz w:val="24"/>
          <w:szCs w:val="28"/>
        </w:rPr>
      </w:pPr>
      <w:r>
        <w:rPr>
          <w:rFonts w:hint="eastAsia" w:ascii="宋体" w:hAnsi="宋体" w:cs="Arial"/>
          <w:sz w:val="24"/>
          <w:szCs w:val="28"/>
        </w:rPr>
        <w:t>采购人：广州市政务服务数据管理局</w:t>
      </w:r>
    </w:p>
    <w:p>
      <w:pPr>
        <w:numPr>
          <w:ilvl w:val="1"/>
          <w:numId w:val="5"/>
        </w:numPr>
        <w:spacing w:line="360" w:lineRule="auto"/>
        <w:rPr>
          <w:rFonts w:ascii="宋体" w:hAnsi="宋体" w:cs="Arial"/>
          <w:sz w:val="24"/>
          <w:szCs w:val="28"/>
        </w:rPr>
      </w:pPr>
      <w:r>
        <w:rPr>
          <w:rFonts w:hint="eastAsia" w:ascii="宋体" w:hAnsi="宋体" w:cs="Arial"/>
          <w:sz w:val="24"/>
          <w:szCs w:val="28"/>
        </w:rPr>
        <w:t>投标人：已下载招标文件并向采购人提交投标文件的供应商。</w:t>
      </w:r>
    </w:p>
    <w:p>
      <w:pPr>
        <w:numPr>
          <w:ilvl w:val="0"/>
          <w:numId w:val="5"/>
        </w:numPr>
        <w:spacing w:line="360" w:lineRule="auto"/>
        <w:rPr>
          <w:rFonts w:ascii="宋体" w:hAnsi="宋体" w:cs="Arial"/>
          <w:b/>
          <w:sz w:val="24"/>
          <w:szCs w:val="28"/>
        </w:rPr>
      </w:pPr>
      <w:r>
        <w:rPr>
          <w:rFonts w:hint="eastAsia" w:ascii="宋体" w:hAnsi="宋体" w:cs="Arial"/>
          <w:b/>
          <w:sz w:val="24"/>
          <w:szCs w:val="28"/>
        </w:rPr>
        <w:t>项目内容</w:t>
      </w:r>
    </w:p>
    <w:p>
      <w:pPr>
        <w:spacing w:line="360" w:lineRule="auto"/>
        <w:ind w:firstLine="480" w:firstLineChars="200"/>
        <w:rPr>
          <w:rFonts w:ascii="宋体" w:hAnsi="宋体" w:cs="Arial"/>
          <w:sz w:val="24"/>
          <w:szCs w:val="28"/>
        </w:rPr>
      </w:pPr>
      <w:r>
        <w:rPr>
          <w:rFonts w:hint="eastAsia" w:ascii="宋体" w:hAnsi="宋体" w:cs="Arial"/>
          <w:sz w:val="24"/>
          <w:szCs w:val="28"/>
        </w:rPr>
        <w:t>项目名称：</w:t>
      </w:r>
      <w:r>
        <w:rPr>
          <w:rFonts w:hint="eastAsia" w:ascii="宋体" w:hAnsi="宋体"/>
          <w:sz w:val="24"/>
          <w:lang w:eastAsia="zh-CN"/>
        </w:rPr>
        <w:t>广州移动政务服务平台设计咨询服务项目</w:t>
      </w:r>
      <w:r>
        <w:rPr>
          <w:rFonts w:hint="eastAsia" w:ascii="宋体" w:hAnsi="宋体" w:cs="Arial"/>
          <w:sz w:val="24"/>
          <w:szCs w:val="28"/>
        </w:rPr>
        <w:t>。</w:t>
      </w:r>
    </w:p>
    <w:p>
      <w:pPr>
        <w:numPr>
          <w:ilvl w:val="0"/>
          <w:numId w:val="5"/>
        </w:numPr>
        <w:spacing w:line="360" w:lineRule="auto"/>
        <w:rPr>
          <w:rFonts w:ascii="宋体" w:hAnsi="宋体" w:cs="Arial"/>
          <w:b/>
          <w:sz w:val="24"/>
          <w:szCs w:val="28"/>
        </w:rPr>
      </w:pPr>
      <w:r>
        <w:rPr>
          <w:rFonts w:hint="eastAsia" w:ascii="宋体" w:hAnsi="宋体" w:cs="Arial"/>
          <w:b/>
          <w:sz w:val="24"/>
          <w:szCs w:val="28"/>
        </w:rPr>
        <w:t>关于招标文件</w:t>
      </w:r>
    </w:p>
    <w:p>
      <w:pPr>
        <w:numPr>
          <w:ilvl w:val="1"/>
          <w:numId w:val="5"/>
        </w:numPr>
        <w:spacing w:line="360" w:lineRule="auto"/>
        <w:rPr>
          <w:rFonts w:ascii="宋体" w:hAnsi="宋体" w:cs="Arial"/>
          <w:sz w:val="24"/>
          <w:szCs w:val="28"/>
        </w:rPr>
      </w:pPr>
      <w:r>
        <w:rPr>
          <w:rFonts w:hint="eastAsia" w:ascii="宋体" w:hAnsi="宋体" w:cs="Arial"/>
          <w:sz w:val="24"/>
          <w:szCs w:val="28"/>
        </w:rPr>
        <w:t>本招标文件仅适用于本次采购公告中所叙述的项目。</w:t>
      </w:r>
    </w:p>
    <w:p>
      <w:pPr>
        <w:numPr>
          <w:ilvl w:val="0"/>
          <w:numId w:val="5"/>
        </w:numPr>
        <w:spacing w:line="360" w:lineRule="auto"/>
        <w:rPr>
          <w:rFonts w:ascii="宋体" w:hAnsi="宋体" w:cs="Arial"/>
          <w:b/>
          <w:sz w:val="24"/>
          <w:szCs w:val="28"/>
        </w:rPr>
      </w:pPr>
      <w:r>
        <w:rPr>
          <w:rFonts w:hint="eastAsia" w:ascii="宋体" w:hAnsi="宋体" w:cs="Arial"/>
          <w:b/>
          <w:sz w:val="24"/>
          <w:szCs w:val="28"/>
        </w:rPr>
        <w:t>关于投标人</w:t>
      </w:r>
    </w:p>
    <w:p>
      <w:pPr>
        <w:numPr>
          <w:ilvl w:val="1"/>
          <w:numId w:val="5"/>
        </w:numPr>
        <w:spacing w:line="360" w:lineRule="auto"/>
        <w:rPr>
          <w:rFonts w:ascii="宋体" w:hAnsi="宋体" w:cs="Arial"/>
          <w:sz w:val="24"/>
          <w:szCs w:val="28"/>
        </w:rPr>
      </w:pPr>
      <w:r>
        <w:rPr>
          <w:rFonts w:hint="eastAsia" w:ascii="宋体" w:hAnsi="宋体" w:cs="Arial"/>
          <w:sz w:val="24"/>
          <w:szCs w:val="28"/>
        </w:rPr>
        <w:t>投标人资格及要求</w:t>
      </w:r>
    </w:p>
    <w:p>
      <w:pPr>
        <w:spacing w:line="360" w:lineRule="auto"/>
        <w:ind w:firstLine="480" w:firstLineChars="200"/>
        <w:rPr>
          <w:rFonts w:ascii="宋体" w:hAnsi="宋体" w:cs="Arial"/>
          <w:sz w:val="24"/>
          <w:szCs w:val="28"/>
        </w:rPr>
      </w:pPr>
      <w:r>
        <w:rPr>
          <w:rFonts w:hint="eastAsia" w:ascii="宋体" w:hAnsi="宋体" w:cs="Arial"/>
          <w:sz w:val="24"/>
          <w:szCs w:val="28"/>
        </w:rPr>
        <w:t>（一）符合《政府采购法》第二十二条所规定的条件；分支机构投标的，必须由总公司（总所）授权【依据《投标人资格声明函》及其附件、分支机构的营业执照（执业许可证）扫描件及总公司（总所）出具给分支机构的授权书】。</w:t>
      </w:r>
    </w:p>
    <w:p>
      <w:pPr>
        <w:spacing w:line="360" w:lineRule="auto"/>
        <w:ind w:firstLine="480" w:firstLineChars="200"/>
        <w:rPr>
          <w:rFonts w:ascii="宋体" w:hAnsi="宋体" w:cs="Arial"/>
          <w:sz w:val="24"/>
          <w:szCs w:val="28"/>
        </w:rPr>
      </w:pPr>
      <w:r>
        <w:rPr>
          <w:rFonts w:hint="eastAsia" w:ascii="宋体" w:hAnsi="宋体" w:cs="Arial"/>
          <w:sz w:val="24"/>
          <w:szCs w:val="28"/>
        </w:rPr>
        <w:t>（二）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p>
      <w:pPr>
        <w:numPr>
          <w:ilvl w:val="1"/>
          <w:numId w:val="5"/>
        </w:numPr>
        <w:spacing w:line="360" w:lineRule="auto"/>
        <w:rPr>
          <w:rFonts w:ascii="宋体" w:hAnsi="宋体" w:cs="Arial"/>
          <w:sz w:val="24"/>
          <w:szCs w:val="28"/>
        </w:rPr>
      </w:pPr>
      <w:r>
        <w:rPr>
          <w:rFonts w:hint="eastAsia" w:ascii="宋体" w:hAnsi="宋体" w:cs="Arial"/>
          <w:bCs/>
          <w:sz w:val="24"/>
          <w:szCs w:val="28"/>
        </w:rPr>
        <w:t>关于联合投标</w:t>
      </w:r>
    </w:p>
    <w:p>
      <w:pPr>
        <w:spacing w:line="360" w:lineRule="auto"/>
        <w:ind w:firstLine="480" w:firstLineChars="200"/>
        <w:rPr>
          <w:rFonts w:ascii="宋体" w:hAnsi="宋体" w:cs="Arial"/>
          <w:sz w:val="24"/>
          <w:szCs w:val="28"/>
        </w:rPr>
      </w:pPr>
      <w:bookmarkStart w:id="32" w:name="CombineDesc"/>
      <w:r>
        <w:rPr>
          <w:rFonts w:hint="eastAsia" w:ascii="宋体" w:hAnsi="宋体" w:cs="Arial"/>
          <w:sz w:val="24"/>
          <w:szCs w:val="28"/>
        </w:rPr>
        <w:t>本项目不接受联合投标。</w:t>
      </w:r>
      <w:bookmarkEnd w:id="32"/>
    </w:p>
    <w:p>
      <w:pPr>
        <w:numPr>
          <w:ilvl w:val="1"/>
          <w:numId w:val="5"/>
        </w:numPr>
        <w:spacing w:line="360" w:lineRule="auto"/>
        <w:rPr>
          <w:rFonts w:ascii="宋体" w:hAnsi="宋体" w:cs="Arial"/>
          <w:bCs/>
          <w:sz w:val="24"/>
          <w:szCs w:val="28"/>
        </w:rPr>
      </w:pPr>
      <w:r>
        <w:rPr>
          <w:rFonts w:hint="eastAsia" w:ascii="宋体" w:hAnsi="宋体" w:cs="Arial"/>
          <w:bCs/>
          <w:sz w:val="24"/>
          <w:szCs w:val="28"/>
        </w:rPr>
        <w:t>现场考察及招标答疑会</w:t>
      </w:r>
    </w:p>
    <w:p>
      <w:pPr>
        <w:spacing w:line="360" w:lineRule="auto"/>
        <w:ind w:firstLine="480" w:firstLineChars="200"/>
        <w:rPr>
          <w:rFonts w:ascii="宋体" w:hAnsi="宋体" w:cs="Arial"/>
          <w:sz w:val="24"/>
          <w:szCs w:val="28"/>
        </w:rPr>
      </w:pPr>
      <w:r>
        <w:rPr>
          <w:rFonts w:hint="eastAsia" w:ascii="宋体" w:hAnsi="宋体" w:cs="Arial"/>
          <w:sz w:val="24"/>
          <w:szCs w:val="28"/>
        </w:rPr>
        <w:t>（一）本项目不需要现场考察。</w:t>
      </w:r>
    </w:p>
    <w:p>
      <w:pPr>
        <w:spacing w:line="360" w:lineRule="auto"/>
        <w:ind w:firstLine="480" w:firstLineChars="200"/>
        <w:rPr>
          <w:rFonts w:ascii="宋体" w:hAnsi="宋体" w:cs="Arial"/>
          <w:sz w:val="24"/>
          <w:szCs w:val="28"/>
        </w:rPr>
      </w:pPr>
      <w:r>
        <w:rPr>
          <w:rFonts w:hint="eastAsia" w:ascii="宋体" w:hAnsi="宋体" w:cs="Arial"/>
          <w:sz w:val="24"/>
          <w:szCs w:val="28"/>
        </w:rPr>
        <w:t>（二）本项目不需要现场招标答疑会。</w:t>
      </w:r>
    </w:p>
    <w:p>
      <w:pPr>
        <w:numPr>
          <w:ilvl w:val="0"/>
          <w:numId w:val="5"/>
        </w:numPr>
        <w:spacing w:line="360" w:lineRule="auto"/>
        <w:rPr>
          <w:rFonts w:ascii="宋体" w:hAnsi="宋体" w:cs="Arial"/>
          <w:b/>
          <w:sz w:val="24"/>
          <w:szCs w:val="28"/>
        </w:rPr>
      </w:pPr>
      <w:bookmarkStart w:id="33" w:name="_Toc46738400"/>
      <w:bookmarkStart w:id="34" w:name="_Toc46738273"/>
      <w:bookmarkStart w:id="35" w:name="_Toc46738139"/>
      <w:bookmarkStart w:id="36" w:name="_Toc12118317"/>
      <w:r>
        <w:rPr>
          <w:rFonts w:hint="eastAsia" w:ascii="宋体" w:hAnsi="宋体" w:cs="Arial"/>
          <w:b/>
          <w:sz w:val="24"/>
          <w:szCs w:val="28"/>
        </w:rPr>
        <w:t>关于投标文件</w:t>
      </w:r>
      <w:bookmarkEnd w:id="33"/>
      <w:bookmarkEnd w:id="34"/>
      <w:bookmarkEnd w:id="35"/>
      <w:bookmarkEnd w:id="36"/>
    </w:p>
    <w:p>
      <w:pPr>
        <w:numPr>
          <w:ilvl w:val="1"/>
          <w:numId w:val="5"/>
        </w:numPr>
        <w:spacing w:line="360" w:lineRule="auto"/>
        <w:rPr>
          <w:rFonts w:ascii="宋体" w:hAnsi="宋体" w:cs="Arial"/>
          <w:sz w:val="24"/>
          <w:szCs w:val="28"/>
        </w:rPr>
      </w:pPr>
      <w:bookmarkStart w:id="37" w:name="_Toc12118318"/>
      <w:bookmarkStart w:id="38" w:name="_Toc12096398"/>
      <w:r>
        <w:rPr>
          <w:rFonts w:hint="eastAsia" w:ascii="宋体" w:hAnsi="宋体" w:cs="Arial"/>
          <w:sz w:val="24"/>
          <w:szCs w:val="28"/>
        </w:rPr>
        <w:t>投标文件的组成和格式</w:t>
      </w:r>
      <w:bookmarkEnd w:id="37"/>
      <w:bookmarkEnd w:id="38"/>
    </w:p>
    <w:p>
      <w:pPr>
        <w:numPr>
          <w:ilvl w:val="2"/>
          <w:numId w:val="5"/>
        </w:numPr>
        <w:spacing w:line="360" w:lineRule="auto"/>
        <w:ind w:left="0" w:hanging="9"/>
        <w:rPr>
          <w:rFonts w:ascii="宋体" w:hAnsi="宋体" w:cs="Arial"/>
          <w:sz w:val="24"/>
          <w:szCs w:val="28"/>
        </w:rPr>
      </w:pPr>
      <w:r>
        <w:rPr>
          <w:rFonts w:hint="eastAsia" w:ascii="宋体" w:hAnsi="宋体" w:cs="Arial"/>
          <w:sz w:val="24"/>
          <w:szCs w:val="28"/>
        </w:rPr>
        <w:t>投标文件应包括下列部分：</w:t>
      </w:r>
    </w:p>
    <w:p>
      <w:pPr>
        <w:spacing w:line="360" w:lineRule="auto"/>
        <w:ind w:firstLine="480" w:firstLineChars="200"/>
        <w:rPr>
          <w:rFonts w:ascii="宋体" w:hAnsi="宋体" w:cs="Arial"/>
          <w:sz w:val="24"/>
          <w:szCs w:val="28"/>
        </w:rPr>
      </w:pPr>
      <w:r>
        <w:rPr>
          <w:rFonts w:hint="eastAsia" w:ascii="宋体" w:hAnsi="宋体" w:cs="Arial"/>
          <w:sz w:val="24"/>
          <w:szCs w:val="28"/>
        </w:rPr>
        <w:t>（一）商务部分</w:t>
      </w:r>
    </w:p>
    <w:p>
      <w:pPr>
        <w:numPr>
          <w:ilvl w:val="0"/>
          <w:numId w:val="6"/>
        </w:numPr>
        <w:spacing w:line="360" w:lineRule="auto"/>
        <w:rPr>
          <w:rFonts w:ascii="宋体" w:hAnsi="宋体" w:cs="Arial"/>
          <w:sz w:val="24"/>
          <w:szCs w:val="28"/>
        </w:rPr>
      </w:pPr>
      <w:r>
        <w:rPr>
          <w:rFonts w:hint="eastAsia" w:ascii="宋体" w:hAnsi="宋体" w:cs="Arial"/>
          <w:sz w:val="24"/>
          <w:szCs w:val="28"/>
        </w:rPr>
        <w:t>投标文件目录；</w:t>
      </w:r>
    </w:p>
    <w:p>
      <w:pPr>
        <w:numPr>
          <w:ilvl w:val="0"/>
          <w:numId w:val="6"/>
        </w:numPr>
        <w:spacing w:line="360" w:lineRule="auto"/>
        <w:rPr>
          <w:rFonts w:ascii="宋体" w:hAnsi="宋体" w:cs="Arial"/>
          <w:sz w:val="24"/>
          <w:szCs w:val="28"/>
        </w:rPr>
      </w:pPr>
      <w:r>
        <w:rPr>
          <w:rFonts w:hint="eastAsia" w:ascii="宋体" w:hAnsi="宋体" w:cs="Arial"/>
          <w:sz w:val="24"/>
          <w:szCs w:val="28"/>
        </w:rPr>
        <w:t>投标函（格式见附件1-1）；</w:t>
      </w:r>
    </w:p>
    <w:p>
      <w:pPr>
        <w:numPr>
          <w:ilvl w:val="0"/>
          <w:numId w:val="6"/>
        </w:numPr>
        <w:spacing w:line="360" w:lineRule="auto"/>
        <w:rPr>
          <w:rFonts w:ascii="宋体" w:hAnsi="宋体" w:cs="Arial"/>
          <w:sz w:val="24"/>
          <w:szCs w:val="28"/>
        </w:rPr>
      </w:pPr>
      <w:r>
        <w:rPr>
          <w:rFonts w:hint="eastAsia" w:ascii="宋体" w:hAnsi="宋体" w:cs="Arial"/>
          <w:sz w:val="24"/>
          <w:szCs w:val="28"/>
        </w:rPr>
        <w:t>开标一览表（格式见附件1-2）；</w:t>
      </w:r>
    </w:p>
    <w:p>
      <w:pPr>
        <w:numPr>
          <w:ilvl w:val="0"/>
          <w:numId w:val="6"/>
        </w:numPr>
        <w:spacing w:line="360" w:lineRule="auto"/>
        <w:rPr>
          <w:rFonts w:ascii="宋体" w:hAnsi="宋体" w:cs="Arial"/>
          <w:sz w:val="24"/>
          <w:szCs w:val="28"/>
        </w:rPr>
      </w:pPr>
      <w:r>
        <w:rPr>
          <w:rFonts w:hint="eastAsia" w:ascii="宋体" w:hAnsi="宋体" w:cs="Arial"/>
          <w:sz w:val="24"/>
          <w:szCs w:val="28"/>
        </w:rPr>
        <w:t>投标响应与招标文件差异一览表（格式见附件1-3）；</w:t>
      </w:r>
    </w:p>
    <w:p>
      <w:pPr>
        <w:numPr>
          <w:ilvl w:val="0"/>
          <w:numId w:val="6"/>
        </w:numPr>
        <w:spacing w:line="360" w:lineRule="auto"/>
        <w:rPr>
          <w:rFonts w:ascii="宋体" w:hAnsi="宋体" w:cs="Arial"/>
          <w:sz w:val="24"/>
          <w:szCs w:val="28"/>
        </w:rPr>
      </w:pPr>
      <w:r>
        <w:rPr>
          <w:rFonts w:hint="eastAsia" w:ascii="宋体" w:hAnsi="宋体" w:cs="Arial"/>
          <w:sz w:val="24"/>
          <w:szCs w:val="28"/>
        </w:rPr>
        <w:t>实质性响应条款一览表（格式见附件1-4）；</w:t>
      </w:r>
      <w:bookmarkStart w:id="39" w:name="CombineProtocolDesc"/>
      <w:bookmarkEnd w:id="39"/>
      <w:r>
        <w:rPr>
          <w:rFonts w:hint="eastAsia" w:ascii="宋体" w:hAnsi="宋体" w:cs="Arial"/>
          <w:sz w:val="24"/>
          <w:szCs w:val="28"/>
        </w:rPr>
        <w:t xml:space="preserve"> </w:t>
      </w:r>
    </w:p>
    <w:p>
      <w:pPr>
        <w:numPr>
          <w:ilvl w:val="0"/>
          <w:numId w:val="6"/>
        </w:numPr>
        <w:spacing w:line="360" w:lineRule="auto"/>
        <w:rPr>
          <w:rFonts w:ascii="宋体" w:hAnsi="宋体" w:cs="Arial"/>
          <w:sz w:val="24"/>
          <w:szCs w:val="28"/>
        </w:rPr>
      </w:pPr>
      <w:r>
        <w:rPr>
          <w:rFonts w:hint="eastAsia" w:ascii="宋体" w:hAnsi="宋体" w:cs="Arial"/>
          <w:sz w:val="24"/>
          <w:szCs w:val="28"/>
        </w:rPr>
        <w:t>投标人基本情况表（格式见附件1-5）；</w:t>
      </w:r>
    </w:p>
    <w:p>
      <w:pPr>
        <w:numPr>
          <w:ilvl w:val="0"/>
          <w:numId w:val="6"/>
        </w:numPr>
        <w:spacing w:line="360" w:lineRule="auto"/>
        <w:rPr>
          <w:rFonts w:ascii="宋体" w:hAnsi="宋体" w:cs="Arial"/>
          <w:sz w:val="24"/>
          <w:szCs w:val="28"/>
        </w:rPr>
      </w:pPr>
      <w:r>
        <w:rPr>
          <w:rFonts w:hint="eastAsia" w:ascii="宋体" w:hAnsi="宋体" w:cs="Arial"/>
          <w:sz w:val="24"/>
          <w:szCs w:val="28"/>
        </w:rPr>
        <w:t>企业营业执照副本复印件或事业单位法人证书复印件；</w:t>
      </w:r>
    </w:p>
    <w:p>
      <w:pPr>
        <w:numPr>
          <w:ilvl w:val="0"/>
          <w:numId w:val="6"/>
        </w:numPr>
        <w:spacing w:line="360" w:lineRule="auto"/>
        <w:rPr>
          <w:rFonts w:ascii="宋体" w:hAnsi="宋体" w:cs="Arial"/>
          <w:sz w:val="24"/>
          <w:szCs w:val="28"/>
        </w:rPr>
      </w:pPr>
      <w:r>
        <w:rPr>
          <w:rFonts w:hint="eastAsia" w:ascii="宋体" w:hAnsi="宋体" w:cs="Arial"/>
          <w:sz w:val="24"/>
          <w:szCs w:val="28"/>
        </w:rPr>
        <w:t>企业信誉相关证明资料；</w:t>
      </w:r>
    </w:p>
    <w:p>
      <w:pPr>
        <w:numPr>
          <w:ilvl w:val="0"/>
          <w:numId w:val="6"/>
        </w:numPr>
        <w:spacing w:line="360" w:lineRule="auto"/>
        <w:rPr>
          <w:rFonts w:ascii="宋体" w:hAnsi="宋体" w:cs="Arial"/>
          <w:sz w:val="24"/>
          <w:szCs w:val="28"/>
        </w:rPr>
      </w:pPr>
      <w:r>
        <w:rPr>
          <w:rFonts w:hint="eastAsia" w:ascii="宋体" w:hAnsi="宋体" w:cs="Arial"/>
          <w:sz w:val="24"/>
          <w:szCs w:val="28"/>
        </w:rPr>
        <w:t>项目主要负责人简历（格式见附件1-6）；</w:t>
      </w:r>
    </w:p>
    <w:p>
      <w:pPr>
        <w:numPr>
          <w:ilvl w:val="0"/>
          <w:numId w:val="6"/>
        </w:numPr>
        <w:spacing w:line="360" w:lineRule="auto"/>
        <w:rPr>
          <w:rFonts w:ascii="宋体" w:hAnsi="宋体" w:cs="Arial"/>
          <w:sz w:val="24"/>
          <w:szCs w:val="28"/>
        </w:rPr>
      </w:pPr>
      <w:r>
        <w:rPr>
          <w:rFonts w:hint="eastAsia" w:ascii="宋体" w:hAnsi="宋体" w:cs="Arial"/>
          <w:sz w:val="24"/>
          <w:szCs w:val="28"/>
        </w:rPr>
        <w:t>承担本项目主要负责人及其他工作人员表（格式见附件1-7）；</w:t>
      </w:r>
    </w:p>
    <w:p>
      <w:pPr>
        <w:numPr>
          <w:ilvl w:val="0"/>
          <w:numId w:val="6"/>
        </w:numPr>
        <w:spacing w:line="360" w:lineRule="auto"/>
        <w:rPr>
          <w:rFonts w:ascii="宋体" w:hAnsi="宋体" w:cs="Arial"/>
          <w:sz w:val="24"/>
          <w:szCs w:val="28"/>
        </w:rPr>
      </w:pPr>
      <w:r>
        <w:rPr>
          <w:rFonts w:hint="eastAsia" w:ascii="宋体" w:hAnsi="宋体" w:cs="Arial"/>
          <w:sz w:val="24"/>
          <w:szCs w:val="28"/>
        </w:rPr>
        <w:t>提供以上人员在本公司任职的外部证明材料（如加盖政府有关部门印章的打印日期在本项目投标截止日之前六个月以内的《投保单》或《社会保险参保人员证明》，或单位代缴个人所得税税单等）复印件；</w:t>
      </w:r>
    </w:p>
    <w:p>
      <w:pPr>
        <w:numPr>
          <w:ilvl w:val="0"/>
          <w:numId w:val="6"/>
        </w:numPr>
        <w:spacing w:line="360" w:lineRule="auto"/>
        <w:rPr>
          <w:rFonts w:ascii="宋体" w:hAnsi="宋体" w:cs="Arial"/>
          <w:sz w:val="24"/>
          <w:szCs w:val="28"/>
        </w:rPr>
      </w:pPr>
      <w:r>
        <w:rPr>
          <w:rFonts w:hint="eastAsia" w:ascii="宋体" w:hAnsi="宋体" w:cs="Arial"/>
          <w:sz w:val="24"/>
          <w:szCs w:val="28"/>
        </w:rPr>
        <w:t>提供《近三年以来已完成同类型项目一览表》（格式见附件1-8）；</w:t>
      </w:r>
    </w:p>
    <w:p>
      <w:pPr>
        <w:spacing w:line="360" w:lineRule="auto"/>
        <w:ind w:firstLine="480" w:firstLineChars="200"/>
        <w:rPr>
          <w:rFonts w:ascii="宋体" w:hAnsi="宋体" w:cs="Arial"/>
          <w:sz w:val="24"/>
          <w:szCs w:val="28"/>
        </w:rPr>
      </w:pPr>
      <w:r>
        <w:rPr>
          <w:rFonts w:hint="eastAsia" w:ascii="宋体" w:hAnsi="宋体" w:cs="Arial"/>
          <w:sz w:val="24"/>
          <w:szCs w:val="28"/>
        </w:rPr>
        <w:t>（二）技术部分</w:t>
      </w:r>
    </w:p>
    <w:p>
      <w:pPr>
        <w:numPr>
          <w:ilvl w:val="0"/>
          <w:numId w:val="7"/>
        </w:numPr>
        <w:spacing w:line="360" w:lineRule="auto"/>
        <w:rPr>
          <w:rFonts w:ascii="宋体" w:hAnsi="宋体" w:cs="Arial"/>
          <w:sz w:val="24"/>
          <w:szCs w:val="28"/>
        </w:rPr>
      </w:pPr>
      <w:r>
        <w:rPr>
          <w:rFonts w:hint="eastAsia" w:ascii="宋体" w:hAnsi="宋体" w:cs="Arial"/>
          <w:sz w:val="24"/>
          <w:szCs w:val="28"/>
        </w:rPr>
        <w:t>项目实施方案；</w:t>
      </w:r>
    </w:p>
    <w:p>
      <w:pPr>
        <w:numPr>
          <w:ilvl w:val="0"/>
          <w:numId w:val="7"/>
        </w:numPr>
        <w:spacing w:line="360" w:lineRule="auto"/>
        <w:rPr>
          <w:rFonts w:ascii="宋体" w:hAnsi="宋体" w:cs="Arial"/>
          <w:sz w:val="24"/>
          <w:szCs w:val="28"/>
        </w:rPr>
      </w:pPr>
      <w:r>
        <w:rPr>
          <w:rFonts w:ascii="宋体" w:hAnsi="宋体" w:cs="宋体"/>
          <w:sz w:val="24"/>
          <w:szCs w:val="22"/>
        </w:rPr>
        <w:t>投标人认为有必要说明的其他技术文件资料</w:t>
      </w:r>
      <w:r>
        <w:rPr>
          <w:rFonts w:hint="eastAsia" w:ascii="宋体" w:hAnsi="宋体" w:cs="宋体"/>
          <w:sz w:val="24"/>
          <w:szCs w:val="22"/>
        </w:rPr>
        <w:t>。</w:t>
      </w:r>
    </w:p>
    <w:p>
      <w:pPr>
        <w:numPr>
          <w:ilvl w:val="1"/>
          <w:numId w:val="5"/>
        </w:numPr>
        <w:spacing w:line="360" w:lineRule="auto"/>
        <w:rPr>
          <w:rFonts w:ascii="宋体" w:hAnsi="宋体" w:cs="Arial"/>
          <w:sz w:val="24"/>
          <w:szCs w:val="28"/>
        </w:rPr>
      </w:pPr>
      <w:bookmarkStart w:id="40" w:name="_Toc12118319"/>
      <w:bookmarkStart w:id="41" w:name="_Toc12096399"/>
      <w:r>
        <w:rPr>
          <w:rFonts w:hint="eastAsia" w:ascii="宋体" w:hAnsi="宋体" w:cs="Arial"/>
          <w:sz w:val="24"/>
          <w:szCs w:val="28"/>
        </w:rPr>
        <w:t>投标文件的编写</w:t>
      </w:r>
      <w:bookmarkEnd w:id="40"/>
      <w:bookmarkEnd w:id="41"/>
    </w:p>
    <w:p>
      <w:pPr>
        <w:numPr>
          <w:ilvl w:val="2"/>
          <w:numId w:val="5"/>
        </w:numPr>
        <w:spacing w:line="360" w:lineRule="auto"/>
        <w:rPr>
          <w:rFonts w:ascii="宋体" w:hAnsi="宋体" w:cs="Arial"/>
          <w:sz w:val="24"/>
          <w:szCs w:val="28"/>
        </w:rPr>
      </w:pPr>
      <w:r>
        <w:rPr>
          <w:rFonts w:hint="eastAsia" w:ascii="宋体" w:hAnsi="宋体" w:cs="Arial"/>
          <w:sz w:val="24"/>
          <w:szCs w:val="28"/>
        </w:rPr>
        <w:t>投标人在投标文件中提供不真实的材料，无论其材料是否重要，都将视为投标无效，并承担由此产生的法律责任。</w:t>
      </w:r>
    </w:p>
    <w:p>
      <w:pPr>
        <w:numPr>
          <w:ilvl w:val="2"/>
          <w:numId w:val="5"/>
        </w:numPr>
        <w:spacing w:line="360" w:lineRule="auto"/>
        <w:rPr>
          <w:rFonts w:ascii="宋体" w:hAnsi="宋体" w:cs="Arial"/>
          <w:b/>
          <w:sz w:val="24"/>
          <w:szCs w:val="28"/>
        </w:rPr>
      </w:pPr>
      <w:r>
        <w:rPr>
          <w:rFonts w:hint="eastAsia" w:ascii="宋体" w:hAnsi="宋体" w:cs="Arial"/>
          <w:b/>
          <w:sz w:val="24"/>
          <w:szCs w:val="28"/>
        </w:rPr>
        <w:t>加★号的条款均被视为重要的指标要求，必须一一响应。若有一项带“★”的指标要求未响应或不满足，将按投标无效处理。</w:t>
      </w:r>
    </w:p>
    <w:p>
      <w:pPr>
        <w:numPr>
          <w:ilvl w:val="2"/>
          <w:numId w:val="5"/>
        </w:numPr>
        <w:spacing w:line="360" w:lineRule="auto"/>
        <w:rPr>
          <w:rFonts w:ascii="宋体" w:hAnsi="宋体" w:cs="Arial"/>
          <w:sz w:val="24"/>
          <w:szCs w:val="28"/>
        </w:rPr>
      </w:pPr>
      <w:r>
        <w:rPr>
          <w:rFonts w:hint="eastAsia" w:ascii="宋体" w:hAnsi="宋体" w:cs="Arial"/>
          <w:sz w:val="24"/>
          <w:szCs w:val="28"/>
        </w:rPr>
        <w:t>投标人对本招标文件的每一项要求所给予的响应必须是唯一的。否则将视为不响应。</w:t>
      </w:r>
    </w:p>
    <w:p>
      <w:pPr>
        <w:numPr>
          <w:ilvl w:val="2"/>
          <w:numId w:val="5"/>
        </w:numPr>
        <w:spacing w:line="360" w:lineRule="auto"/>
        <w:rPr>
          <w:rFonts w:ascii="宋体" w:hAnsi="宋体" w:cs="Arial"/>
          <w:sz w:val="24"/>
          <w:szCs w:val="28"/>
        </w:rPr>
      </w:pPr>
      <w:r>
        <w:rPr>
          <w:rFonts w:hint="eastAsia" w:ascii="宋体" w:hAnsi="宋体" w:cs="Arial"/>
          <w:sz w:val="24"/>
          <w:szCs w:val="28"/>
        </w:rPr>
        <w:t>投标人应在投标文件中按招标文件的规定和要求附上所有的资格证明文件，要求提供的复印件必须加盖单位印章。</w:t>
      </w:r>
    </w:p>
    <w:p>
      <w:pPr>
        <w:numPr>
          <w:ilvl w:val="1"/>
          <w:numId w:val="5"/>
        </w:numPr>
        <w:spacing w:line="360" w:lineRule="auto"/>
        <w:rPr>
          <w:rFonts w:ascii="宋体" w:hAnsi="宋体" w:cs="Arial"/>
          <w:sz w:val="24"/>
          <w:szCs w:val="28"/>
        </w:rPr>
      </w:pPr>
      <w:bookmarkStart w:id="42" w:name="_Toc12096400"/>
      <w:bookmarkStart w:id="43" w:name="_Toc12118320"/>
      <w:r>
        <w:rPr>
          <w:rFonts w:hint="eastAsia" w:ascii="宋体" w:hAnsi="宋体" w:cs="Arial"/>
          <w:sz w:val="24"/>
          <w:szCs w:val="28"/>
        </w:rPr>
        <w:t xml:space="preserve"> 投标文件的签署和印刷规定</w:t>
      </w:r>
      <w:bookmarkEnd w:id="42"/>
      <w:bookmarkEnd w:id="43"/>
    </w:p>
    <w:p>
      <w:pPr>
        <w:numPr>
          <w:ilvl w:val="2"/>
          <w:numId w:val="5"/>
        </w:numPr>
        <w:spacing w:line="360" w:lineRule="auto"/>
        <w:rPr>
          <w:rFonts w:ascii="宋体" w:hAnsi="宋体" w:cs="Arial"/>
          <w:sz w:val="24"/>
          <w:szCs w:val="28"/>
        </w:rPr>
      </w:pPr>
      <w:r>
        <w:rPr>
          <w:rFonts w:hint="eastAsia" w:ascii="宋体" w:hAnsi="宋体" w:cs="Arial"/>
          <w:sz w:val="24"/>
          <w:szCs w:val="28"/>
        </w:rPr>
        <w:t>投标文件正本必须打印。投标人应按照要求，在正本规定的地方加盖单位公章或由投标人法定代表人（或其委托代理人）签字，副本可通过正本复印。</w:t>
      </w:r>
    </w:p>
    <w:p>
      <w:pPr>
        <w:numPr>
          <w:ilvl w:val="2"/>
          <w:numId w:val="5"/>
        </w:numPr>
        <w:spacing w:line="360" w:lineRule="auto"/>
        <w:rPr>
          <w:rFonts w:ascii="宋体" w:hAnsi="宋体" w:cs="Arial"/>
          <w:sz w:val="24"/>
          <w:szCs w:val="28"/>
        </w:rPr>
      </w:pPr>
      <w:r>
        <w:rPr>
          <w:rFonts w:hint="eastAsia" w:ascii="宋体" w:hAnsi="宋体" w:cs="Arial"/>
          <w:sz w:val="24"/>
          <w:szCs w:val="28"/>
        </w:rPr>
        <w:t>投标文件除签字外必须是印刷形式，其中不许有加行、涂抹或改写。若有修改须由签署投标文件的人进行签字。</w:t>
      </w:r>
    </w:p>
    <w:p>
      <w:pPr>
        <w:numPr>
          <w:ilvl w:val="2"/>
          <w:numId w:val="5"/>
        </w:numPr>
        <w:spacing w:line="360" w:lineRule="auto"/>
        <w:rPr>
          <w:rFonts w:ascii="宋体" w:hAnsi="宋体" w:cs="Arial"/>
          <w:sz w:val="24"/>
          <w:szCs w:val="28"/>
        </w:rPr>
      </w:pPr>
      <w:r>
        <w:rPr>
          <w:rFonts w:hint="eastAsia" w:ascii="宋体" w:hAnsi="宋体" w:cs="Arial"/>
          <w:sz w:val="24"/>
          <w:szCs w:val="28"/>
        </w:rPr>
        <w:t>电报、电话、传真形式的投标概不接受。</w:t>
      </w:r>
    </w:p>
    <w:p>
      <w:pPr>
        <w:numPr>
          <w:ilvl w:val="1"/>
          <w:numId w:val="5"/>
        </w:numPr>
        <w:spacing w:line="360" w:lineRule="auto"/>
        <w:rPr>
          <w:rFonts w:ascii="宋体" w:hAnsi="宋体" w:cs="Arial"/>
          <w:sz w:val="24"/>
          <w:szCs w:val="28"/>
        </w:rPr>
      </w:pPr>
      <w:bookmarkStart w:id="44" w:name="_Toc12096401"/>
      <w:bookmarkStart w:id="45" w:name="_Toc12118321"/>
      <w:r>
        <w:rPr>
          <w:rFonts w:hint="eastAsia" w:ascii="宋体" w:hAnsi="宋体" w:cs="Arial"/>
          <w:sz w:val="24"/>
          <w:szCs w:val="28"/>
        </w:rPr>
        <w:t xml:space="preserve"> 投标文件的密封、标记和递交</w:t>
      </w:r>
      <w:bookmarkEnd w:id="44"/>
      <w:bookmarkEnd w:id="45"/>
    </w:p>
    <w:p>
      <w:pPr>
        <w:numPr>
          <w:ilvl w:val="2"/>
          <w:numId w:val="5"/>
        </w:numPr>
        <w:spacing w:line="360" w:lineRule="auto"/>
        <w:rPr>
          <w:rFonts w:ascii="宋体" w:hAnsi="宋体" w:cs="Arial"/>
          <w:sz w:val="24"/>
          <w:szCs w:val="28"/>
        </w:rPr>
      </w:pPr>
      <w:r>
        <w:rPr>
          <w:rFonts w:hint="eastAsia" w:ascii="宋体" w:hAnsi="宋体" w:cs="Arial"/>
          <w:sz w:val="24"/>
          <w:szCs w:val="28"/>
        </w:rPr>
        <w:t>投标文件的密封和标记</w:t>
      </w:r>
    </w:p>
    <w:p>
      <w:pPr>
        <w:numPr>
          <w:ilvl w:val="3"/>
          <w:numId w:val="5"/>
        </w:numPr>
        <w:tabs>
          <w:tab w:val="left" w:pos="1440"/>
        </w:tabs>
        <w:spacing w:line="360" w:lineRule="auto"/>
        <w:rPr>
          <w:rFonts w:ascii="宋体" w:hAnsi="宋体" w:cs="Arial"/>
          <w:b/>
          <w:sz w:val="24"/>
          <w:szCs w:val="28"/>
        </w:rPr>
      </w:pPr>
      <w:r>
        <w:rPr>
          <w:rFonts w:hint="eastAsia" w:ascii="宋体" w:hAnsi="宋体" w:cs="Arial"/>
          <w:b/>
          <w:sz w:val="24"/>
          <w:szCs w:val="28"/>
        </w:rPr>
        <w:t>投标人应准备投标文件的正本1套，副本</w:t>
      </w:r>
      <w:r>
        <w:rPr>
          <w:rFonts w:ascii="宋体" w:hAnsi="宋体" w:cs="Arial"/>
          <w:b/>
          <w:sz w:val="24"/>
          <w:szCs w:val="28"/>
        </w:rPr>
        <w:t>4</w:t>
      </w:r>
      <w:r>
        <w:rPr>
          <w:rFonts w:hint="eastAsia" w:ascii="宋体" w:hAnsi="宋体" w:cs="Arial"/>
          <w:b/>
          <w:sz w:val="24"/>
          <w:szCs w:val="28"/>
        </w:rPr>
        <w:t>套，在每一份投标文件上要明确注明“正本”或“副本”字样。一旦正本和副本内容有差异，以正本为准。</w:t>
      </w:r>
    </w:p>
    <w:p>
      <w:pPr>
        <w:numPr>
          <w:ilvl w:val="3"/>
          <w:numId w:val="5"/>
        </w:numPr>
        <w:tabs>
          <w:tab w:val="left" w:pos="1440"/>
        </w:tabs>
        <w:spacing w:line="360" w:lineRule="auto"/>
        <w:rPr>
          <w:rFonts w:ascii="宋体" w:hAnsi="宋体" w:cs="Arial"/>
          <w:sz w:val="24"/>
          <w:szCs w:val="28"/>
        </w:rPr>
      </w:pPr>
      <w:r>
        <w:rPr>
          <w:rFonts w:hint="eastAsia" w:ascii="宋体" w:hAnsi="宋体" w:cs="Arial"/>
          <w:sz w:val="24"/>
          <w:szCs w:val="28"/>
        </w:rPr>
        <w:t>投标人应将投标文件按照本章5.1.1要求单独装订成册，在正本封面上加盖公章。</w:t>
      </w:r>
    </w:p>
    <w:p>
      <w:pPr>
        <w:numPr>
          <w:ilvl w:val="3"/>
          <w:numId w:val="5"/>
        </w:numPr>
        <w:tabs>
          <w:tab w:val="left" w:pos="1440"/>
        </w:tabs>
        <w:spacing w:line="360" w:lineRule="auto"/>
        <w:rPr>
          <w:rFonts w:ascii="宋体" w:hAnsi="宋体" w:cs="Arial"/>
          <w:bCs/>
          <w:sz w:val="24"/>
          <w:szCs w:val="28"/>
        </w:rPr>
      </w:pPr>
      <w:r>
        <w:rPr>
          <w:rFonts w:hint="eastAsia" w:ascii="宋体" w:hAnsi="宋体" w:cs="Arial"/>
          <w:bCs/>
          <w:sz w:val="24"/>
          <w:szCs w:val="28"/>
        </w:rPr>
        <w:t>投标文件应装订牢固不可拆卸（如：胶订），如因装订不牢固导致的任何损失由投标人承担。</w:t>
      </w:r>
    </w:p>
    <w:p>
      <w:pPr>
        <w:numPr>
          <w:ilvl w:val="3"/>
          <w:numId w:val="5"/>
        </w:numPr>
        <w:tabs>
          <w:tab w:val="left" w:pos="1440"/>
        </w:tabs>
        <w:spacing w:line="360" w:lineRule="auto"/>
        <w:rPr>
          <w:rFonts w:ascii="宋体" w:hAnsi="宋体" w:cs="Arial"/>
          <w:sz w:val="24"/>
          <w:szCs w:val="28"/>
        </w:rPr>
      </w:pPr>
      <w:bookmarkStart w:id="46" w:name="_Toc12096402"/>
      <w:bookmarkStart w:id="47" w:name="_Toc12118322"/>
      <w:r>
        <w:rPr>
          <w:rFonts w:hint="eastAsia" w:ascii="宋体" w:hAnsi="宋体" w:cs="Arial"/>
          <w:sz w:val="24"/>
          <w:szCs w:val="28"/>
        </w:rPr>
        <w:t>正本和电子文件一起封装，全部副本一起封装，在每一封口处加盖公章，并在信封上标明招标项目名称和投标人名称。</w:t>
      </w:r>
    </w:p>
    <w:p>
      <w:pPr>
        <w:numPr>
          <w:ilvl w:val="2"/>
          <w:numId w:val="5"/>
        </w:numPr>
        <w:spacing w:line="360" w:lineRule="auto"/>
        <w:rPr>
          <w:rFonts w:ascii="宋体" w:hAnsi="宋体" w:cs="Arial"/>
          <w:sz w:val="24"/>
          <w:szCs w:val="28"/>
        </w:rPr>
      </w:pPr>
      <w:r>
        <w:rPr>
          <w:rFonts w:hint="eastAsia" w:ascii="宋体" w:hAnsi="宋体" w:cs="Arial"/>
          <w:sz w:val="24"/>
          <w:szCs w:val="28"/>
        </w:rPr>
        <w:t>投标文件的递交</w:t>
      </w:r>
    </w:p>
    <w:p>
      <w:pPr>
        <w:numPr>
          <w:ilvl w:val="3"/>
          <w:numId w:val="5"/>
        </w:numPr>
        <w:tabs>
          <w:tab w:val="left" w:pos="1440"/>
        </w:tabs>
        <w:spacing w:line="360" w:lineRule="auto"/>
        <w:rPr>
          <w:rFonts w:ascii="宋体" w:hAnsi="宋体" w:cs="Arial"/>
          <w:sz w:val="24"/>
          <w:szCs w:val="28"/>
        </w:rPr>
      </w:pPr>
      <w:r>
        <w:rPr>
          <w:rFonts w:hint="eastAsia" w:ascii="宋体" w:hAnsi="宋体" w:cs="Arial"/>
          <w:sz w:val="24"/>
          <w:szCs w:val="28"/>
        </w:rPr>
        <w:t>在投标截止时间之后送达的投标文件，为无效投标文件。</w:t>
      </w:r>
    </w:p>
    <w:bookmarkEnd w:id="46"/>
    <w:bookmarkEnd w:id="47"/>
    <w:p>
      <w:pPr>
        <w:numPr>
          <w:ilvl w:val="1"/>
          <w:numId w:val="5"/>
        </w:numPr>
        <w:spacing w:line="360" w:lineRule="auto"/>
        <w:rPr>
          <w:rFonts w:ascii="宋体" w:hAnsi="宋体" w:cs="Arial"/>
          <w:sz w:val="24"/>
          <w:szCs w:val="28"/>
        </w:rPr>
      </w:pPr>
      <w:bookmarkStart w:id="48" w:name="_Toc12118323"/>
      <w:bookmarkStart w:id="49" w:name="_Toc12096403"/>
      <w:r>
        <w:rPr>
          <w:rFonts w:hint="eastAsia" w:ascii="宋体" w:hAnsi="宋体" w:cs="Arial"/>
          <w:sz w:val="24"/>
          <w:szCs w:val="28"/>
        </w:rPr>
        <w:t xml:space="preserve"> 投标语言及计量单位</w:t>
      </w:r>
      <w:bookmarkEnd w:id="48"/>
      <w:bookmarkEnd w:id="49"/>
    </w:p>
    <w:p>
      <w:pPr>
        <w:numPr>
          <w:ilvl w:val="2"/>
          <w:numId w:val="5"/>
        </w:numPr>
        <w:spacing w:line="360" w:lineRule="auto"/>
        <w:rPr>
          <w:rFonts w:ascii="宋体" w:hAnsi="宋体" w:cs="Arial"/>
          <w:sz w:val="24"/>
          <w:szCs w:val="28"/>
        </w:rPr>
      </w:pPr>
      <w:r>
        <w:rPr>
          <w:rFonts w:hint="eastAsia" w:ascii="宋体" w:hAnsi="宋体" w:cs="Arial"/>
          <w:sz w:val="24"/>
          <w:szCs w:val="28"/>
        </w:rPr>
        <w:t>投标文件及投标人和招标采购单位就投标交换的文件和来往信件，应以中文书写。投标人提供的支持文件、技术资料和印刷的文献可以用其他语言，但相应内容应附有中文翻译本（经公证处公证），以中文为准。</w:t>
      </w:r>
    </w:p>
    <w:p>
      <w:pPr>
        <w:numPr>
          <w:ilvl w:val="2"/>
          <w:numId w:val="5"/>
        </w:numPr>
        <w:spacing w:line="360" w:lineRule="auto"/>
        <w:rPr>
          <w:rFonts w:ascii="宋体" w:hAnsi="宋体" w:cs="Arial"/>
          <w:sz w:val="24"/>
          <w:szCs w:val="28"/>
        </w:rPr>
      </w:pPr>
      <w:r>
        <w:rPr>
          <w:rFonts w:hint="eastAsia" w:ascii="宋体" w:hAnsi="宋体" w:cs="Arial"/>
          <w:sz w:val="24"/>
          <w:szCs w:val="28"/>
        </w:rPr>
        <w:t>计量单位应使用中华人民共和国法定公制计量单位。</w:t>
      </w:r>
    </w:p>
    <w:p>
      <w:pPr>
        <w:numPr>
          <w:ilvl w:val="1"/>
          <w:numId w:val="5"/>
        </w:numPr>
        <w:spacing w:line="360" w:lineRule="auto"/>
        <w:rPr>
          <w:rFonts w:ascii="宋体" w:hAnsi="宋体" w:cs="Arial"/>
          <w:sz w:val="24"/>
          <w:szCs w:val="28"/>
        </w:rPr>
      </w:pPr>
      <w:r>
        <w:rPr>
          <w:rFonts w:hint="eastAsia" w:ascii="宋体" w:hAnsi="宋体" w:cs="Arial"/>
          <w:sz w:val="24"/>
          <w:szCs w:val="28"/>
        </w:rPr>
        <w:t xml:space="preserve"> 关于报价</w:t>
      </w:r>
    </w:p>
    <w:p>
      <w:pPr>
        <w:numPr>
          <w:ilvl w:val="2"/>
          <w:numId w:val="5"/>
        </w:numPr>
        <w:spacing w:line="360" w:lineRule="auto"/>
        <w:rPr>
          <w:rFonts w:ascii="宋体" w:hAnsi="宋体" w:cs="Arial"/>
          <w:sz w:val="24"/>
          <w:szCs w:val="28"/>
        </w:rPr>
      </w:pPr>
      <w:r>
        <w:rPr>
          <w:rFonts w:hint="eastAsia" w:ascii="宋体" w:hAnsi="宋体" w:cs="Arial"/>
          <w:sz w:val="24"/>
          <w:szCs w:val="28"/>
        </w:rPr>
        <w:t>投标人必须按招标文件指定的格式填写各种报价，各报价应计算正确。除在招标文件另有规定外，计量单位应使用中华人民共和国法定计量单位，以人民币填报所有报价</w:t>
      </w:r>
    </w:p>
    <w:p>
      <w:pPr>
        <w:numPr>
          <w:ilvl w:val="2"/>
          <w:numId w:val="5"/>
        </w:numPr>
        <w:spacing w:line="360" w:lineRule="auto"/>
        <w:rPr>
          <w:rFonts w:ascii="宋体" w:hAnsi="宋体" w:cs="Arial"/>
          <w:sz w:val="24"/>
          <w:szCs w:val="28"/>
        </w:rPr>
      </w:pPr>
      <w:r>
        <w:rPr>
          <w:rFonts w:hint="eastAsia" w:ascii="宋体" w:hAnsi="宋体" w:cs="Arial"/>
          <w:sz w:val="24"/>
          <w:szCs w:val="28"/>
        </w:rPr>
        <w:t>投标人必须按招标文件指定格式正确填写各种价格单，价格单中相应内容的报价应计算正确。</w:t>
      </w:r>
    </w:p>
    <w:p>
      <w:pPr>
        <w:numPr>
          <w:ilvl w:val="2"/>
          <w:numId w:val="5"/>
        </w:numPr>
        <w:spacing w:line="360" w:lineRule="auto"/>
        <w:rPr>
          <w:rFonts w:ascii="宋体" w:hAnsi="宋体" w:cs="Arial"/>
          <w:sz w:val="24"/>
          <w:szCs w:val="28"/>
        </w:rPr>
      </w:pPr>
      <w:r>
        <w:rPr>
          <w:rFonts w:hint="eastAsia" w:ascii="宋体" w:hAnsi="宋体" w:cs="Arial"/>
          <w:sz w:val="24"/>
          <w:szCs w:val="28"/>
        </w:rPr>
        <w:t>每一项目的报价必须是唯一的。报价栏中如出现数字0，视报价为零，即免费；如出现空白，视为已响应但漏报价。</w:t>
      </w:r>
    </w:p>
    <w:p>
      <w:pPr>
        <w:numPr>
          <w:ilvl w:val="2"/>
          <w:numId w:val="5"/>
        </w:numPr>
        <w:spacing w:line="360" w:lineRule="auto"/>
        <w:rPr>
          <w:rFonts w:ascii="宋体" w:hAnsi="宋体" w:cs="Arial"/>
          <w:sz w:val="24"/>
          <w:szCs w:val="28"/>
        </w:rPr>
      </w:pPr>
      <w:r>
        <w:rPr>
          <w:rFonts w:hint="eastAsia" w:ascii="宋体" w:hAnsi="宋体" w:cs="Arial"/>
          <w:sz w:val="24"/>
          <w:szCs w:val="28"/>
        </w:rPr>
        <w:t>漏报的单价或每单价报价中漏报、少报的费用，视为此项费用已隐含在投标报价中，中标后不得再向采购人收取任何费用。</w:t>
      </w:r>
    </w:p>
    <w:p>
      <w:pPr>
        <w:numPr>
          <w:ilvl w:val="2"/>
          <w:numId w:val="5"/>
        </w:numPr>
        <w:spacing w:line="360" w:lineRule="auto"/>
        <w:rPr>
          <w:rFonts w:ascii="宋体" w:hAnsi="宋体" w:cs="Arial"/>
          <w:sz w:val="24"/>
          <w:szCs w:val="28"/>
        </w:rPr>
      </w:pPr>
      <w:r>
        <w:rPr>
          <w:rFonts w:hint="eastAsia" w:ascii="宋体" w:hAnsi="宋体" w:cs="Arial"/>
          <w:sz w:val="24"/>
          <w:szCs w:val="28"/>
        </w:rPr>
        <w:t>所有报价应包含本项目的所有费用（包含国家规定的所有税费）。</w:t>
      </w:r>
    </w:p>
    <w:p>
      <w:pPr>
        <w:numPr>
          <w:ilvl w:val="2"/>
          <w:numId w:val="5"/>
        </w:numPr>
        <w:spacing w:line="360" w:lineRule="auto"/>
        <w:rPr>
          <w:rFonts w:ascii="宋体" w:hAnsi="宋体" w:cs="Arial"/>
          <w:sz w:val="24"/>
          <w:szCs w:val="28"/>
        </w:rPr>
      </w:pPr>
      <w:r>
        <w:rPr>
          <w:rFonts w:hint="eastAsia" w:ascii="宋体" w:hAnsi="宋体" w:cs="Arial"/>
          <w:sz w:val="24"/>
          <w:szCs w:val="28"/>
        </w:rPr>
        <w:t>开标时，投标文件中开标一览表的总报价与投标文件中明细表的报价不一致的，以开标一览表的总报价为准。</w:t>
      </w:r>
    </w:p>
    <w:p>
      <w:pPr>
        <w:numPr>
          <w:ilvl w:val="2"/>
          <w:numId w:val="5"/>
        </w:numPr>
        <w:spacing w:line="360" w:lineRule="auto"/>
        <w:rPr>
          <w:rFonts w:ascii="宋体" w:hAnsi="宋体" w:cs="Arial"/>
          <w:sz w:val="24"/>
          <w:szCs w:val="28"/>
        </w:rPr>
      </w:pPr>
      <w:r>
        <w:rPr>
          <w:rFonts w:hint="eastAsia" w:ascii="宋体" w:hAnsi="宋体" w:cs="Arial"/>
          <w:sz w:val="24"/>
          <w:szCs w:val="28"/>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numPr>
          <w:ilvl w:val="2"/>
          <w:numId w:val="5"/>
        </w:numPr>
        <w:spacing w:line="360" w:lineRule="auto"/>
        <w:rPr>
          <w:rFonts w:ascii="宋体" w:hAnsi="宋体" w:cs="Arial"/>
          <w:b/>
          <w:sz w:val="24"/>
          <w:szCs w:val="28"/>
        </w:rPr>
      </w:pPr>
      <w:bookmarkStart w:id="50" w:name="_Hlk3638465"/>
      <w:r>
        <w:rPr>
          <w:rFonts w:hint="eastAsia" w:ascii="宋体" w:hAnsi="宋体"/>
          <w:b/>
          <w:sz w:val="24"/>
        </w:rPr>
        <w:t>★</w:t>
      </w:r>
      <w:r>
        <w:rPr>
          <w:rFonts w:hint="eastAsia" w:ascii="宋体" w:hAnsi="宋体" w:cs="Arial"/>
          <w:b/>
          <w:sz w:val="24"/>
          <w:szCs w:val="28"/>
        </w:rPr>
        <w:t>投标人报价低于最高限价</w:t>
      </w:r>
      <w:r>
        <w:rPr>
          <w:rFonts w:hint="eastAsia" w:ascii="宋体" w:hAnsi="宋体" w:cs="Arial"/>
          <w:b/>
          <w:sz w:val="24"/>
          <w:szCs w:val="28"/>
          <w:lang w:val="en-US" w:eastAsia="zh-CN"/>
        </w:rPr>
        <w:t>6</w:t>
      </w:r>
      <w:r>
        <w:rPr>
          <w:rFonts w:hint="eastAsia" w:ascii="宋体" w:hAnsi="宋体" w:cs="Arial"/>
          <w:b/>
          <w:sz w:val="24"/>
          <w:szCs w:val="28"/>
        </w:rPr>
        <w:t>0%的，必须在投标文件中说明报价理由。</w:t>
      </w:r>
    </w:p>
    <w:bookmarkEnd w:id="50"/>
    <w:p>
      <w:pPr>
        <w:numPr>
          <w:ilvl w:val="0"/>
          <w:numId w:val="5"/>
        </w:numPr>
        <w:spacing w:line="360" w:lineRule="auto"/>
        <w:rPr>
          <w:rFonts w:ascii="宋体" w:hAnsi="宋体" w:cs="Arial"/>
          <w:b/>
          <w:sz w:val="24"/>
          <w:szCs w:val="28"/>
        </w:rPr>
      </w:pPr>
      <w:bookmarkStart w:id="51" w:name="_Toc12118325"/>
      <w:bookmarkStart w:id="52" w:name="_Toc46738141"/>
      <w:bookmarkStart w:id="53" w:name="_Toc46738402"/>
      <w:bookmarkStart w:id="54" w:name="_Toc46738275"/>
      <w:r>
        <w:rPr>
          <w:rFonts w:hint="eastAsia" w:ascii="宋体" w:hAnsi="宋体" w:cs="Arial"/>
          <w:b/>
          <w:sz w:val="24"/>
          <w:szCs w:val="28"/>
        </w:rPr>
        <w:t>关于投标费用</w:t>
      </w:r>
      <w:bookmarkEnd w:id="51"/>
      <w:bookmarkEnd w:id="52"/>
      <w:bookmarkEnd w:id="53"/>
      <w:bookmarkEnd w:id="54"/>
    </w:p>
    <w:p>
      <w:pPr>
        <w:spacing w:line="360" w:lineRule="auto"/>
        <w:ind w:firstLine="480" w:firstLineChars="200"/>
        <w:rPr>
          <w:rFonts w:ascii="宋体" w:hAnsi="宋体" w:cs="Arial"/>
          <w:sz w:val="24"/>
          <w:szCs w:val="28"/>
        </w:rPr>
      </w:pPr>
      <w:r>
        <w:rPr>
          <w:rFonts w:hint="eastAsia" w:ascii="宋体" w:hAnsi="宋体" w:cs="Arial"/>
          <w:sz w:val="24"/>
          <w:szCs w:val="28"/>
        </w:rPr>
        <w:t>投标人须承担与投标有关的自身的所有费用，包括但不限于本招标文件工本费、投标文件准备以及投标保证金的费用等。无论投标结果如何，招标采购单位在任何情况下不承担、不分担任何类似费用。</w:t>
      </w:r>
    </w:p>
    <w:p>
      <w:pPr>
        <w:numPr>
          <w:ilvl w:val="0"/>
          <w:numId w:val="5"/>
        </w:numPr>
        <w:spacing w:line="360" w:lineRule="auto"/>
        <w:rPr>
          <w:rFonts w:ascii="宋体" w:hAnsi="宋体" w:cs="Arial"/>
          <w:b/>
          <w:sz w:val="24"/>
          <w:szCs w:val="28"/>
        </w:rPr>
      </w:pPr>
      <w:bookmarkStart w:id="55" w:name="_Toc46738276"/>
      <w:bookmarkStart w:id="56" w:name="_Toc46738142"/>
      <w:bookmarkStart w:id="57" w:name="_Toc46738403"/>
      <w:bookmarkStart w:id="58" w:name="_Toc12118326"/>
      <w:r>
        <w:rPr>
          <w:rFonts w:hint="eastAsia" w:ascii="宋体" w:hAnsi="宋体" w:cs="Arial"/>
          <w:b/>
          <w:sz w:val="24"/>
          <w:szCs w:val="28"/>
        </w:rPr>
        <w:t>关于开标</w:t>
      </w:r>
      <w:bookmarkEnd w:id="55"/>
      <w:bookmarkEnd w:id="56"/>
      <w:bookmarkEnd w:id="57"/>
      <w:bookmarkEnd w:id="58"/>
    </w:p>
    <w:p>
      <w:pPr>
        <w:numPr>
          <w:ilvl w:val="1"/>
          <w:numId w:val="5"/>
        </w:numPr>
        <w:spacing w:line="360" w:lineRule="auto"/>
        <w:rPr>
          <w:rFonts w:ascii="宋体" w:hAnsi="宋体" w:cs="Arial"/>
          <w:sz w:val="24"/>
          <w:szCs w:val="28"/>
        </w:rPr>
      </w:pPr>
      <w:r>
        <w:rPr>
          <w:rFonts w:hint="eastAsia" w:ascii="宋体" w:hAnsi="宋体" w:cs="Arial"/>
          <w:sz w:val="24"/>
          <w:szCs w:val="28"/>
        </w:rPr>
        <w:t>投标人代表如参加开标会，必须持本人身份证参加开标会，如投标人代表非法定代表人，还应持法定代表人授权书。</w:t>
      </w:r>
    </w:p>
    <w:p>
      <w:pPr>
        <w:numPr>
          <w:ilvl w:val="1"/>
          <w:numId w:val="5"/>
        </w:numPr>
        <w:spacing w:line="360" w:lineRule="auto"/>
        <w:rPr>
          <w:rFonts w:ascii="宋体" w:hAnsi="宋体" w:cs="Arial"/>
          <w:sz w:val="24"/>
          <w:szCs w:val="28"/>
        </w:rPr>
      </w:pPr>
      <w:r>
        <w:rPr>
          <w:rFonts w:hint="eastAsia" w:ascii="宋体" w:hAnsi="宋体" w:cs="Arial"/>
          <w:sz w:val="24"/>
          <w:szCs w:val="28"/>
        </w:rPr>
        <w:t>开标时，工作人员检查投标文件的密封情况，经确认无误后，当众拆封，宣读投标人名称、投标报价等。</w:t>
      </w:r>
    </w:p>
    <w:p>
      <w:pPr>
        <w:numPr>
          <w:ilvl w:val="0"/>
          <w:numId w:val="5"/>
        </w:numPr>
        <w:spacing w:line="360" w:lineRule="auto"/>
        <w:rPr>
          <w:rFonts w:ascii="宋体" w:hAnsi="宋体" w:cs="Arial"/>
          <w:b/>
          <w:sz w:val="24"/>
          <w:szCs w:val="28"/>
        </w:rPr>
      </w:pPr>
      <w:bookmarkStart w:id="59" w:name="_Toc12118327"/>
      <w:bookmarkStart w:id="60" w:name="_Toc46738404"/>
      <w:bookmarkStart w:id="61" w:name="_Toc46738277"/>
      <w:bookmarkStart w:id="62" w:name="_Toc46738143"/>
      <w:r>
        <w:rPr>
          <w:rFonts w:hint="eastAsia" w:ascii="宋体" w:hAnsi="宋体" w:cs="Arial"/>
          <w:b/>
          <w:sz w:val="24"/>
          <w:szCs w:val="28"/>
        </w:rPr>
        <w:t>关于开标</w:t>
      </w:r>
      <w:bookmarkEnd w:id="59"/>
      <w:r>
        <w:rPr>
          <w:rFonts w:hint="eastAsia" w:ascii="宋体" w:hAnsi="宋体" w:cs="Arial"/>
          <w:b/>
          <w:sz w:val="24"/>
          <w:szCs w:val="28"/>
        </w:rPr>
        <w:t>和定标</w:t>
      </w:r>
      <w:bookmarkEnd w:id="60"/>
      <w:bookmarkEnd w:id="61"/>
      <w:bookmarkEnd w:id="62"/>
    </w:p>
    <w:p>
      <w:pPr>
        <w:numPr>
          <w:ilvl w:val="1"/>
          <w:numId w:val="5"/>
        </w:numPr>
        <w:spacing w:line="360" w:lineRule="auto"/>
        <w:rPr>
          <w:rFonts w:ascii="宋体" w:hAnsi="宋体" w:cs="Arial"/>
          <w:sz w:val="24"/>
          <w:szCs w:val="28"/>
        </w:rPr>
      </w:pPr>
      <w:r>
        <w:rPr>
          <w:rFonts w:hint="eastAsia" w:ascii="宋体" w:hAnsi="宋体" w:cs="Arial"/>
          <w:sz w:val="24"/>
          <w:szCs w:val="28"/>
        </w:rPr>
        <w:t>本次招标由采购人组织开标。</w:t>
      </w:r>
    </w:p>
    <w:p>
      <w:pPr>
        <w:numPr>
          <w:ilvl w:val="0"/>
          <w:numId w:val="5"/>
        </w:numPr>
        <w:spacing w:line="360" w:lineRule="auto"/>
        <w:rPr>
          <w:rFonts w:ascii="宋体" w:hAnsi="宋体" w:cs="Arial"/>
          <w:b/>
          <w:sz w:val="24"/>
          <w:szCs w:val="28"/>
        </w:rPr>
      </w:pPr>
      <w:bookmarkStart w:id="63" w:name="_Toc59796113"/>
      <w:r>
        <w:rPr>
          <w:rFonts w:hint="eastAsia" w:ascii="宋体" w:hAnsi="宋体" w:cs="Arial"/>
          <w:b/>
          <w:sz w:val="24"/>
          <w:szCs w:val="28"/>
        </w:rPr>
        <w:t>关于中标通知和签订合同</w:t>
      </w:r>
    </w:p>
    <w:p>
      <w:pPr>
        <w:numPr>
          <w:ilvl w:val="1"/>
          <w:numId w:val="5"/>
        </w:numPr>
        <w:spacing w:line="360" w:lineRule="auto"/>
        <w:rPr>
          <w:rFonts w:ascii="宋体" w:hAnsi="宋体" w:cs="Arial"/>
          <w:sz w:val="24"/>
          <w:szCs w:val="28"/>
        </w:rPr>
      </w:pPr>
      <w:r>
        <w:rPr>
          <w:rFonts w:hint="eastAsia" w:ascii="宋体" w:hAnsi="宋体" w:cs="Arial"/>
          <w:sz w:val="24"/>
          <w:szCs w:val="28"/>
        </w:rPr>
        <w:t>中标人须在中标通知发出之日起15日历天内与采购人签订合同。</w:t>
      </w:r>
      <w:bookmarkEnd w:id="63"/>
    </w:p>
    <w:p>
      <w:pPr>
        <w:numPr>
          <w:ilvl w:val="0"/>
          <w:numId w:val="5"/>
        </w:numPr>
        <w:spacing w:line="360" w:lineRule="auto"/>
        <w:rPr>
          <w:rFonts w:ascii="宋体" w:hAnsi="宋体" w:cs="Arial"/>
          <w:b/>
          <w:sz w:val="24"/>
          <w:szCs w:val="28"/>
        </w:rPr>
      </w:pPr>
      <w:r>
        <w:rPr>
          <w:rFonts w:hint="eastAsia" w:ascii="宋体" w:hAnsi="宋体" w:cs="Arial"/>
          <w:b/>
          <w:sz w:val="24"/>
          <w:szCs w:val="28"/>
        </w:rPr>
        <w:t>关于投标无效和废标</w:t>
      </w:r>
    </w:p>
    <w:p>
      <w:pPr>
        <w:numPr>
          <w:ilvl w:val="1"/>
          <w:numId w:val="5"/>
        </w:numPr>
        <w:spacing w:line="360" w:lineRule="auto"/>
        <w:rPr>
          <w:rFonts w:ascii="宋体" w:hAnsi="宋体" w:cs="Arial"/>
          <w:sz w:val="24"/>
          <w:szCs w:val="28"/>
        </w:rPr>
      </w:pPr>
      <w:r>
        <w:rPr>
          <w:rFonts w:hint="eastAsia" w:ascii="宋体" w:hAnsi="宋体" w:cs="Arial"/>
          <w:sz w:val="24"/>
          <w:szCs w:val="28"/>
        </w:rPr>
        <w:t>有下列情况之一出现的投标文件，将作投标无效处理：</w:t>
      </w:r>
    </w:p>
    <w:p>
      <w:pPr>
        <w:spacing w:line="360" w:lineRule="auto"/>
        <w:rPr>
          <w:rFonts w:ascii="宋体" w:hAnsi="宋体" w:cs="Arial"/>
          <w:sz w:val="24"/>
          <w:szCs w:val="28"/>
        </w:rPr>
      </w:pPr>
      <w:r>
        <w:rPr>
          <w:rFonts w:hint="eastAsia" w:ascii="宋体" w:hAnsi="宋体" w:cs="Arial"/>
          <w:sz w:val="24"/>
          <w:szCs w:val="28"/>
        </w:rPr>
        <w:t>（一）投标文件未密封。</w:t>
      </w:r>
    </w:p>
    <w:p>
      <w:pPr>
        <w:spacing w:line="360" w:lineRule="auto"/>
        <w:rPr>
          <w:rFonts w:ascii="宋体" w:hAnsi="宋体" w:cs="Arial"/>
          <w:sz w:val="24"/>
          <w:szCs w:val="28"/>
        </w:rPr>
      </w:pPr>
      <w:r>
        <w:rPr>
          <w:rFonts w:hint="eastAsia" w:ascii="宋体" w:hAnsi="宋体" w:cs="Arial"/>
          <w:sz w:val="24"/>
          <w:szCs w:val="28"/>
        </w:rPr>
        <w:t>（二）投标函无单位盖章。</w:t>
      </w:r>
    </w:p>
    <w:p>
      <w:pPr>
        <w:spacing w:line="360" w:lineRule="auto"/>
        <w:rPr>
          <w:rFonts w:ascii="宋体" w:hAnsi="宋体" w:cs="Arial"/>
          <w:sz w:val="24"/>
          <w:szCs w:val="28"/>
        </w:rPr>
      </w:pPr>
      <w:r>
        <w:rPr>
          <w:rFonts w:hint="eastAsia" w:ascii="宋体" w:hAnsi="宋体" w:cs="Arial"/>
          <w:sz w:val="24"/>
          <w:szCs w:val="28"/>
        </w:rPr>
        <w:t>（三）投标文件不完整、不真实或未对招标文件做出实质的响应导致投标无效。</w:t>
      </w:r>
    </w:p>
    <w:p>
      <w:pPr>
        <w:spacing w:line="360" w:lineRule="auto"/>
        <w:rPr>
          <w:rFonts w:ascii="宋体" w:hAnsi="宋体" w:cs="Arial"/>
          <w:sz w:val="24"/>
          <w:szCs w:val="28"/>
        </w:rPr>
      </w:pPr>
      <w:r>
        <w:rPr>
          <w:rFonts w:hint="eastAsia" w:ascii="宋体" w:hAnsi="宋体" w:cs="Arial"/>
          <w:sz w:val="24"/>
          <w:szCs w:val="28"/>
        </w:rPr>
        <w:t>（四）投标文件载明的招标项目完成期限超过招标文件规定的期限。</w:t>
      </w:r>
    </w:p>
    <w:p>
      <w:pPr>
        <w:spacing w:line="360" w:lineRule="auto"/>
        <w:rPr>
          <w:rFonts w:ascii="宋体" w:hAnsi="宋体" w:cs="Arial"/>
          <w:sz w:val="24"/>
          <w:szCs w:val="28"/>
        </w:rPr>
      </w:pPr>
      <w:r>
        <w:rPr>
          <w:rFonts w:hint="eastAsia" w:ascii="宋体" w:hAnsi="宋体" w:cs="Arial"/>
          <w:sz w:val="24"/>
          <w:szCs w:val="28"/>
        </w:rPr>
        <w:t>（五）投标设备或服务明显不符合技术规格、技术标准的要求。</w:t>
      </w:r>
    </w:p>
    <w:p>
      <w:pPr>
        <w:spacing w:line="360" w:lineRule="auto"/>
        <w:rPr>
          <w:rFonts w:ascii="宋体" w:hAnsi="宋体" w:cs="Arial"/>
          <w:sz w:val="24"/>
          <w:szCs w:val="28"/>
        </w:rPr>
      </w:pPr>
      <w:r>
        <w:rPr>
          <w:rFonts w:hint="eastAsia" w:ascii="宋体" w:hAnsi="宋体" w:cs="Arial"/>
          <w:sz w:val="24"/>
          <w:szCs w:val="28"/>
        </w:rPr>
        <w:t>（六）投标文件载明的货物包装方式、检验标准和方法等不符合招标文件的要求。</w:t>
      </w:r>
    </w:p>
    <w:p>
      <w:pPr>
        <w:spacing w:line="360" w:lineRule="auto"/>
        <w:rPr>
          <w:rFonts w:ascii="宋体" w:hAnsi="宋体" w:cs="Arial"/>
          <w:sz w:val="24"/>
          <w:szCs w:val="28"/>
        </w:rPr>
      </w:pPr>
      <w:r>
        <w:rPr>
          <w:rFonts w:hint="eastAsia" w:ascii="宋体" w:hAnsi="宋体" w:cs="Arial"/>
          <w:sz w:val="24"/>
          <w:szCs w:val="28"/>
        </w:rPr>
        <w:t>（七）投标报价低于企业的成本价。</w:t>
      </w:r>
    </w:p>
    <w:p>
      <w:pPr>
        <w:spacing w:line="360" w:lineRule="auto"/>
        <w:rPr>
          <w:rFonts w:ascii="宋体" w:hAnsi="宋体" w:cs="Arial"/>
          <w:sz w:val="24"/>
          <w:szCs w:val="28"/>
        </w:rPr>
      </w:pPr>
      <w:r>
        <w:rPr>
          <w:rFonts w:hint="eastAsia" w:ascii="宋体" w:hAnsi="宋体" w:cs="Arial"/>
          <w:sz w:val="24"/>
          <w:szCs w:val="28"/>
        </w:rPr>
        <w:t>（八）投标报价超过最高限价。</w:t>
      </w:r>
    </w:p>
    <w:p>
      <w:pPr>
        <w:spacing w:line="360" w:lineRule="auto"/>
        <w:rPr>
          <w:rFonts w:ascii="宋体" w:hAnsi="宋体" w:cs="Arial"/>
          <w:sz w:val="24"/>
          <w:szCs w:val="28"/>
        </w:rPr>
      </w:pPr>
      <w:r>
        <w:rPr>
          <w:rFonts w:hint="eastAsia" w:ascii="宋体" w:hAnsi="宋体" w:cs="Arial"/>
          <w:sz w:val="24"/>
          <w:szCs w:val="28"/>
        </w:rPr>
        <w:t>（九）投标文件逾期送达。</w:t>
      </w:r>
    </w:p>
    <w:p>
      <w:pPr>
        <w:spacing w:line="360" w:lineRule="auto"/>
        <w:rPr>
          <w:rFonts w:ascii="宋体" w:hAnsi="宋体" w:cs="Arial"/>
          <w:sz w:val="24"/>
          <w:szCs w:val="28"/>
        </w:rPr>
      </w:pPr>
      <w:r>
        <w:rPr>
          <w:rFonts w:hint="eastAsia" w:ascii="宋体" w:hAnsi="宋体" w:cs="Arial"/>
          <w:sz w:val="24"/>
          <w:szCs w:val="28"/>
        </w:rPr>
        <w:t>（十）不满足招标文件本部分（即第一部分）和第二部分中其它重要指标。</w:t>
      </w:r>
    </w:p>
    <w:p>
      <w:pPr>
        <w:numPr>
          <w:ilvl w:val="1"/>
          <w:numId w:val="5"/>
        </w:numPr>
        <w:spacing w:line="360" w:lineRule="auto"/>
        <w:rPr>
          <w:rFonts w:ascii="宋体" w:hAnsi="宋体" w:cs="Arial"/>
          <w:sz w:val="24"/>
          <w:szCs w:val="28"/>
        </w:rPr>
      </w:pPr>
      <w:r>
        <w:rPr>
          <w:rFonts w:hint="eastAsia" w:ascii="宋体" w:hAnsi="宋体" w:cs="Arial"/>
          <w:sz w:val="24"/>
          <w:szCs w:val="28"/>
        </w:rPr>
        <w:t>本项目或子项目下列情况出现将作废标处理：</w:t>
      </w:r>
    </w:p>
    <w:p>
      <w:pPr>
        <w:spacing w:line="360" w:lineRule="auto"/>
        <w:rPr>
          <w:rFonts w:ascii="宋体" w:hAnsi="宋体" w:cs="Arial"/>
          <w:sz w:val="24"/>
          <w:szCs w:val="28"/>
        </w:rPr>
      </w:pPr>
      <w:r>
        <w:rPr>
          <w:rFonts w:hint="eastAsia" w:ascii="宋体" w:hAnsi="宋体" w:cs="Arial"/>
          <w:sz w:val="24"/>
          <w:szCs w:val="28"/>
        </w:rPr>
        <w:t>（一）</w:t>
      </w:r>
      <w:r>
        <w:rPr>
          <w:rFonts w:ascii="宋体" w:hAnsi="宋体" w:cs="Arial"/>
          <w:sz w:val="24"/>
          <w:szCs w:val="28"/>
        </w:rPr>
        <w:tab/>
      </w:r>
      <w:r>
        <w:rPr>
          <w:rFonts w:ascii="宋体" w:hAnsi="宋体" w:cs="Arial"/>
          <w:sz w:val="24"/>
          <w:szCs w:val="28"/>
        </w:rPr>
        <w:t>符合专业资格条件的投标人或者对招标文件作实质响应的有效投标人不足三家的</w:t>
      </w:r>
      <w:r>
        <w:rPr>
          <w:rFonts w:hint="eastAsia" w:ascii="宋体" w:hAnsi="宋体" w:cs="Arial"/>
          <w:sz w:val="24"/>
          <w:szCs w:val="28"/>
        </w:rPr>
        <w:t>。</w:t>
      </w:r>
    </w:p>
    <w:p>
      <w:pPr>
        <w:spacing w:line="360" w:lineRule="auto"/>
        <w:rPr>
          <w:rFonts w:ascii="宋体" w:hAnsi="宋体" w:cs="Arial"/>
          <w:sz w:val="24"/>
          <w:szCs w:val="28"/>
        </w:rPr>
      </w:pPr>
      <w:r>
        <w:rPr>
          <w:rFonts w:hint="eastAsia" w:ascii="宋体" w:hAnsi="宋体" w:cs="Arial"/>
          <w:sz w:val="24"/>
          <w:szCs w:val="28"/>
        </w:rPr>
        <w:t>（二）</w:t>
      </w:r>
      <w:r>
        <w:rPr>
          <w:rFonts w:ascii="宋体" w:hAnsi="宋体" w:cs="Arial"/>
          <w:sz w:val="24"/>
          <w:szCs w:val="28"/>
        </w:rPr>
        <w:tab/>
      </w:r>
      <w:r>
        <w:rPr>
          <w:rFonts w:ascii="宋体" w:hAnsi="宋体" w:cs="Arial"/>
          <w:sz w:val="24"/>
          <w:szCs w:val="28"/>
        </w:rPr>
        <w:t>出现影响采购公正的违法、违规行为的</w:t>
      </w:r>
      <w:r>
        <w:rPr>
          <w:rFonts w:hint="eastAsia" w:ascii="宋体" w:hAnsi="宋体" w:cs="Arial"/>
          <w:sz w:val="24"/>
          <w:szCs w:val="28"/>
        </w:rPr>
        <w:t>。</w:t>
      </w:r>
    </w:p>
    <w:p>
      <w:pPr>
        <w:spacing w:line="360" w:lineRule="auto"/>
        <w:rPr>
          <w:rFonts w:ascii="宋体" w:hAnsi="宋体" w:cs="Arial"/>
          <w:sz w:val="24"/>
          <w:szCs w:val="28"/>
        </w:rPr>
      </w:pPr>
      <w:r>
        <w:rPr>
          <w:rFonts w:hint="eastAsia" w:ascii="宋体" w:hAnsi="宋体" w:cs="Arial"/>
          <w:sz w:val="24"/>
          <w:szCs w:val="28"/>
        </w:rPr>
        <w:t>（三）</w:t>
      </w:r>
      <w:r>
        <w:rPr>
          <w:rFonts w:ascii="宋体" w:hAnsi="宋体" w:cs="Arial"/>
          <w:sz w:val="24"/>
          <w:szCs w:val="28"/>
        </w:rPr>
        <w:tab/>
      </w:r>
      <w:r>
        <w:rPr>
          <w:rFonts w:ascii="宋体" w:hAnsi="宋体" w:cs="Arial"/>
          <w:sz w:val="24"/>
          <w:szCs w:val="28"/>
        </w:rPr>
        <w:t>因重大变故，采购任务取消的。</w:t>
      </w:r>
    </w:p>
    <w:p>
      <w:pPr>
        <w:numPr>
          <w:ilvl w:val="0"/>
          <w:numId w:val="5"/>
        </w:numPr>
        <w:spacing w:line="360" w:lineRule="auto"/>
        <w:rPr>
          <w:rFonts w:ascii="宋体" w:hAnsi="宋体" w:cs="Arial"/>
          <w:b/>
          <w:bCs/>
          <w:sz w:val="24"/>
          <w:szCs w:val="28"/>
        </w:rPr>
      </w:pPr>
      <w:bookmarkStart w:id="64" w:name="_Hlk4447054"/>
      <w:r>
        <w:rPr>
          <w:rFonts w:hint="eastAsia" w:ascii="宋体" w:hAnsi="宋体" w:cs="Arial"/>
          <w:b/>
          <w:bCs/>
          <w:sz w:val="24"/>
          <w:szCs w:val="28"/>
        </w:rPr>
        <w:t>知识产权</w:t>
      </w:r>
    </w:p>
    <w:p>
      <w:pPr>
        <w:numPr>
          <w:ilvl w:val="1"/>
          <w:numId w:val="5"/>
        </w:numPr>
        <w:spacing w:line="360" w:lineRule="auto"/>
        <w:rPr>
          <w:rFonts w:hAnsi="宋体"/>
          <w:sz w:val="24"/>
          <w:lang w:val="en-GB"/>
        </w:rPr>
      </w:pPr>
      <w:r>
        <w:rPr>
          <w:rFonts w:hint="eastAsia" w:hAnsi="宋体"/>
          <w:sz w:val="24"/>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numPr>
          <w:ilvl w:val="1"/>
          <w:numId w:val="5"/>
        </w:numPr>
        <w:spacing w:line="360" w:lineRule="auto"/>
        <w:rPr>
          <w:rFonts w:hAnsi="宋体"/>
          <w:sz w:val="24"/>
          <w:lang w:val="en-GB"/>
        </w:rPr>
      </w:pPr>
      <w:r>
        <w:rPr>
          <w:rFonts w:hint="eastAsia" w:hAnsi="宋体"/>
          <w:sz w:val="24"/>
        </w:rPr>
        <w:t>投标报价应包含所有应向所有权人支付的专利权、商标权或其它知识产权的一切相关费用。</w:t>
      </w:r>
    </w:p>
    <w:p>
      <w:pPr>
        <w:numPr>
          <w:ilvl w:val="1"/>
          <w:numId w:val="5"/>
        </w:numPr>
        <w:spacing w:line="360" w:lineRule="auto"/>
        <w:rPr>
          <w:rFonts w:hAnsi="宋体"/>
          <w:sz w:val="24"/>
          <w:lang w:val="en-GB"/>
        </w:rPr>
      </w:pPr>
      <w:r>
        <w:rPr>
          <w:rFonts w:hint="eastAsia" w:hAnsi="宋体"/>
          <w:sz w:val="24"/>
        </w:rPr>
        <w:t>系统软件、通用软件必须是具有在中国境内的合法使用权或版权的正版软件，涉及到第三方提出侵权或知识产权的起诉及支付版税等费用由投标人承担所有责任及费用。</w:t>
      </w:r>
    </w:p>
    <w:p>
      <w:pPr>
        <w:numPr>
          <w:ilvl w:val="0"/>
          <w:numId w:val="5"/>
        </w:numPr>
        <w:spacing w:line="360" w:lineRule="auto"/>
        <w:rPr>
          <w:rFonts w:ascii="新宋体" w:hAnsi="新宋体" w:eastAsia="新宋体" w:cs="Arial"/>
          <w:b/>
          <w:sz w:val="24"/>
        </w:rPr>
      </w:pPr>
      <w:r>
        <w:rPr>
          <w:rFonts w:hint="eastAsia" w:ascii="新宋体" w:hAnsi="新宋体" w:eastAsia="新宋体" w:cs="Arial"/>
          <w:b/>
          <w:sz w:val="24"/>
        </w:rPr>
        <w:t>关于保密</w:t>
      </w:r>
    </w:p>
    <w:p>
      <w:pPr>
        <w:spacing w:line="360" w:lineRule="auto"/>
        <w:ind w:firstLine="480" w:firstLineChars="200"/>
        <w:rPr>
          <w:rFonts w:ascii="新宋体" w:hAnsi="新宋体" w:eastAsia="新宋体"/>
          <w:kern w:val="0"/>
          <w:sz w:val="24"/>
        </w:rPr>
      </w:pPr>
      <w:r>
        <w:rPr>
          <w:rFonts w:hint="eastAsia" w:ascii="新宋体" w:hAnsi="新宋体" w:eastAsia="新宋体" w:cs="Arial"/>
          <w:sz w:val="24"/>
        </w:rPr>
        <w:t>未经采购人和报价人许可，双方都不得将采购文件中关于采购人的系统现状及需求情况、建设情况、项目成果提供给任何第三方。</w:t>
      </w:r>
    </w:p>
    <w:bookmarkEnd w:id="64"/>
    <w:p>
      <w:pPr>
        <w:adjustRightInd w:val="0"/>
        <w:snapToGrid w:val="0"/>
        <w:spacing w:line="360" w:lineRule="auto"/>
        <w:jc w:val="center"/>
        <w:rPr>
          <w:rFonts w:ascii="方正小标宋_GBK" w:hAnsi="仿宋_GB2312" w:eastAsia="方正小标宋_GBK" w:cs="宋体"/>
          <w:b/>
          <w:sz w:val="44"/>
          <w:lang w:bidi="ar"/>
        </w:rPr>
      </w:pPr>
    </w:p>
    <w:p>
      <w:pPr>
        <w:pStyle w:val="25"/>
        <w:spacing w:before="0" w:after="0" w:line="360" w:lineRule="auto"/>
        <w:ind w:left="839" w:hanging="839"/>
        <w:rPr>
          <w:rFonts w:ascii="Times New Roman" w:hAnsi="Times New Roman"/>
          <w:sz w:val="30"/>
          <w:szCs w:val="30"/>
        </w:rPr>
      </w:pPr>
      <w:bookmarkStart w:id="65" w:name="_Toc7016524"/>
      <w:bookmarkStart w:id="66" w:name="_Toc17547"/>
      <w:bookmarkStart w:id="67" w:name="_Toc7348"/>
      <w:r>
        <w:rPr>
          <w:rFonts w:ascii="Times New Roman" w:hAnsi="Times New Roman"/>
          <w:sz w:val="30"/>
          <w:szCs w:val="30"/>
        </w:rPr>
        <w:t>第</w:t>
      </w:r>
      <w:r>
        <w:rPr>
          <w:rFonts w:hint="eastAsia" w:ascii="Times New Roman" w:hAnsi="Times New Roman"/>
          <w:sz w:val="30"/>
          <w:szCs w:val="30"/>
        </w:rPr>
        <w:t>二部分</w:t>
      </w:r>
      <w:r>
        <w:rPr>
          <w:rFonts w:ascii="Times New Roman" w:hAnsi="Times New Roman"/>
          <w:sz w:val="30"/>
          <w:szCs w:val="30"/>
        </w:rPr>
        <w:t xml:space="preserve"> 采购需求</w:t>
      </w:r>
      <w:bookmarkEnd w:id="65"/>
      <w:bookmarkEnd w:id="66"/>
      <w:bookmarkEnd w:id="67"/>
    </w:p>
    <w:p/>
    <w:p>
      <w:pPr>
        <w:pStyle w:val="58"/>
        <w:keepNext w:val="0"/>
        <w:keepLines w:val="0"/>
        <w:autoSpaceDE/>
        <w:adjustRightInd/>
        <w:spacing w:before="0" w:after="0"/>
        <w:ind w:left="425" w:hanging="425"/>
        <w:outlineLvl w:val="1"/>
        <w:rPr>
          <w:rFonts w:hAnsi="宋体" w:cs="宋体"/>
          <w:b w:val="0"/>
          <w:sz w:val="24"/>
          <w:lang w:bidi="ar"/>
        </w:rPr>
      </w:pPr>
      <w:bookmarkStart w:id="68" w:name="_Toc6279"/>
      <w:bookmarkStart w:id="69" w:name="_Toc8322"/>
      <w:r>
        <w:rPr>
          <w:rFonts w:hint="eastAsia" w:hAnsi="宋体" w:cs="宋体"/>
          <w:sz w:val="24"/>
          <w:lang w:bidi="ar"/>
        </w:rPr>
        <w:t>一</w:t>
      </w:r>
      <w:r>
        <w:rPr>
          <w:rFonts w:ascii="仿宋_GB2312" w:hAnsi="仿宋_GB2312" w:eastAsia="仿宋_GB2312" w:cs="宋体"/>
          <w:sz w:val="32"/>
          <w:lang w:bidi="ar"/>
        </w:rPr>
        <w:t>、</w:t>
      </w:r>
      <w:r>
        <w:rPr>
          <w:rFonts w:hAnsi="宋体" w:cs="宋体"/>
          <w:sz w:val="24"/>
          <w:lang w:bidi="ar"/>
        </w:rPr>
        <w:t>项目背景</w:t>
      </w:r>
      <w:bookmarkEnd w:id="68"/>
      <w:bookmarkEnd w:id="69"/>
    </w:p>
    <w:p>
      <w:pPr>
        <w:pStyle w:val="51"/>
        <w:spacing w:line="360" w:lineRule="auto"/>
        <w:ind w:firstLine="480" w:firstLineChars="200"/>
        <w:rPr>
          <w:rFonts w:ascii="宋体" w:hAnsi="宋体" w:eastAsia="宋体" w:cs="宋体"/>
          <w:color w:val="auto"/>
          <w:szCs w:val="21"/>
          <w:lang w:bidi="ar"/>
        </w:rPr>
      </w:pPr>
      <w:r>
        <w:rPr>
          <w:rFonts w:hint="eastAsia" w:ascii="宋体" w:hAnsi="宋体" w:eastAsia="宋体" w:cs="宋体"/>
          <w:color w:val="auto"/>
          <w:kern w:val="2"/>
          <w:szCs w:val="21"/>
          <w:lang w:bidi="ar"/>
        </w:rPr>
        <w:t>根据《广州市“数字政府”改革建设工作推进方案》中的要求，本期项目在2019年广州政务服务移动应用管理系统的基础上,建设广州移动政务服务平台，整合全市移动端政务服务资源，进一步拓展政务服务应用范围和覆盖范围广、应用频率高的服务领域，分阶段推出600余项移动端政务服务，并接入企业服务事项，对广州移动政务服务平台整体框架进行升级，建立并完善微信/支付宝小程序等多种移动服务渠道，提升平台的技术支撑能力，全面提升掌上政务服务能力，提高企业和群众的获得感和满意度。</w:t>
      </w:r>
    </w:p>
    <w:p>
      <w:pPr>
        <w:pStyle w:val="58"/>
        <w:keepNext w:val="0"/>
        <w:keepLines w:val="0"/>
        <w:numPr>
          <w:ilvl w:val="0"/>
          <w:numId w:val="8"/>
        </w:numPr>
        <w:autoSpaceDE/>
        <w:adjustRightInd/>
        <w:spacing w:before="0" w:after="0"/>
        <w:ind w:left="425" w:hanging="425"/>
        <w:outlineLvl w:val="1"/>
        <w:rPr>
          <w:rFonts w:hAnsi="宋体" w:cs="宋体"/>
          <w:sz w:val="24"/>
          <w:lang w:bidi="ar"/>
        </w:rPr>
      </w:pPr>
      <w:bookmarkStart w:id="70" w:name="_Toc344"/>
      <w:bookmarkStart w:id="71" w:name="_Toc11448"/>
      <w:r>
        <w:rPr>
          <w:rFonts w:hint="eastAsia" w:hAnsi="宋体" w:cs="宋体"/>
          <w:sz w:val="24"/>
          <w:lang w:bidi="ar"/>
        </w:rPr>
        <w:t>服务的内容、形式和要求</w:t>
      </w:r>
      <w:bookmarkEnd w:id="70"/>
      <w:bookmarkEnd w:id="71"/>
    </w:p>
    <w:p>
      <w:pPr>
        <w:numPr>
          <w:ilvl w:val="0"/>
          <w:numId w:val="9"/>
        </w:numPr>
        <w:spacing w:line="360" w:lineRule="auto"/>
        <w:ind w:left="839" w:hanging="357"/>
        <w:outlineLvl w:val="3"/>
        <w:rPr>
          <w:rFonts w:ascii="宋体" w:hAnsi="宋体" w:cs="宋体"/>
          <w:b/>
          <w:bCs/>
          <w:sz w:val="24"/>
        </w:rPr>
      </w:pPr>
      <w:r>
        <w:rPr>
          <w:rFonts w:hint="eastAsia" w:ascii="宋体" w:hAnsi="宋体" w:cs="宋体"/>
          <w:b/>
          <w:bCs/>
          <w:sz w:val="24"/>
        </w:rPr>
        <w:t>需求收集</w:t>
      </w:r>
      <w:r>
        <w:rPr>
          <w:rFonts w:ascii="宋体" w:hAnsi="宋体" w:cs="宋体"/>
          <w:b/>
          <w:bCs/>
          <w:sz w:val="24"/>
        </w:rPr>
        <w:t>分析</w:t>
      </w:r>
    </w:p>
    <w:p>
      <w:pPr>
        <w:pStyle w:val="67"/>
        <w:spacing w:line="360" w:lineRule="auto"/>
        <w:ind w:firstLine="424" w:firstLineChars="177"/>
        <w:rPr>
          <w:rFonts w:ascii="Segoe UI Symbol" w:hAnsi="Segoe UI Symbol" w:cs="宋体"/>
          <w:sz w:val="24"/>
          <w:szCs w:val="24"/>
        </w:rPr>
      </w:pPr>
      <w:r>
        <w:rPr>
          <w:rFonts w:hint="eastAsia" w:ascii="宋体" w:hAnsi="宋体" w:cs="宋体"/>
          <w:sz w:val="24"/>
          <w:szCs w:val="24"/>
        </w:rPr>
        <w:t>整理</w:t>
      </w:r>
      <w:r>
        <w:rPr>
          <w:rFonts w:hint="eastAsia" w:ascii="Segoe UI Symbol" w:hAnsi="Segoe UI Symbol" w:cs="宋体"/>
          <w:sz w:val="24"/>
          <w:szCs w:val="24"/>
        </w:rPr>
        <w:t>市直各部门、社会机构的移动服务</w:t>
      </w:r>
      <w:r>
        <w:rPr>
          <w:rFonts w:ascii="Segoe UI Symbol" w:hAnsi="Segoe UI Symbol" w:cs="宋体"/>
          <w:sz w:val="24"/>
          <w:szCs w:val="24"/>
        </w:rPr>
        <w:t>有关</w:t>
      </w:r>
      <w:r>
        <w:rPr>
          <w:rFonts w:hint="eastAsia" w:ascii="Segoe UI Symbol" w:hAnsi="Segoe UI Symbol" w:cs="宋体"/>
          <w:sz w:val="24"/>
          <w:szCs w:val="24"/>
        </w:rPr>
        <w:t>资料，对资料</w:t>
      </w:r>
      <w:r>
        <w:rPr>
          <w:rFonts w:ascii="Segoe UI Symbol" w:hAnsi="Segoe UI Symbol" w:cs="宋体"/>
          <w:sz w:val="24"/>
          <w:szCs w:val="24"/>
        </w:rPr>
        <w:t>进行详细的梳理</w:t>
      </w:r>
      <w:r>
        <w:rPr>
          <w:rFonts w:hint="eastAsia" w:ascii="Segoe UI Symbol" w:hAnsi="Segoe UI Symbol" w:cs="宋体"/>
          <w:sz w:val="24"/>
          <w:szCs w:val="24"/>
        </w:rPr>
        <w:t>和</w:t>
      </w:r>
      <w:r>
        <w:rPr>
          <w:rFonts w:ascii="Segoe UI Symbol" w:hAnsi="Segoe UI Symbol" w:cs="宋体"/>
          <w:sz w:val="24"/>
          <w:szCs w:val="24"/>
        </w:rPr>
        <w:t>分析</w:t>
      </w:r>
      <w:r>
        <w:rPr>
          <w:rFonts w:hint="eastAsia" w:ascii="Segoe UI Symbol" w:hAnsi="Segoe UI Symbol" w:cs="宋体"/>
          <w:sz w:val="24"/>
          <w:szCs w:val="24"/>
        </w:rPr>
        <w:t>，</w:t>
      </w:r>
      <w:r>
        <w:rPr>
          <w:rFonts w:ascii="Segoe UI Symbol" w:hAnsi="Segoe UI Symbol" w:cs="宋体"/>
          <w:sz w:val="24"/>
          <w:szCs w:val="24"/>
        </w:rPr>
        <w:t>评估</w:t>
      </w:r>
      <w:r>
        <w:rPr>
          <w:rFonts w:hint="eastAsia" w:ascii="Segoe UI Symbol" w:hAnsi="Segoe UI Symbol" w:cs="宋体"/>
          <w:sz w:val="24"/>
          <w:szCs w:val="24"/>
        </w:rPr>
        <w:t>各项移动服务纳入广州移动政务服务平台的必要性、合理性</w:t>
      </w:r>
      <w:r>
        <w:rPr>
          <w:rFonts w:ascii="Segoe UI Symbol" w:hAnsi="Segoe UI Symbol" w:cs="宋体"/>
          <w:sz w:val="24"/>
          <w:szCs w:val="24"/>
        </w:rPr>
        <w:t>、可行性</w:t>
      </w:r>
      <w:r>
        <w:rPr>
          <w:rFonts w:hint="eastAsia" w:ascii="Segoe UI Symbol" w:hAnsi="Segoe UI Symbol" w:cs="宋体"/>
          <w:sz w:val="24"/>
          <w:szCs w:val="24"/>
        </w:rPr>
        <w:t>。</w:t>
      </w:r>
    </w:p>
    <w:p>
      <w:pPr>
        <w:pStyle w:val="67"/>
        <w:spacing w:line="360" w:lineRule="auto"/>
        <w:ind w:firstLine="424" w:firstLineChars="177"/>
        <w:rPr>
          <w:rFonts w:ascii="Segoe UI Symbol" w:hAnsi="Segoe UI Symbol" w:cs="宋体"/>
          <w:sz w:val="24"/>
          <w:szCs w:val="24"/>
        </w:rPr>
      </w:pPr>
      <w:r>
        <w:rPr>
          <w:rFonts w:hint="eastAsia" w:ascii="Segoe UI Symbol" w:hAnsi="Segoe UI Symbol" w:cs="宋体"/>
          <w:sz w:val="24"/>
          <w:szCs w:val="24"/>
        </w:rPr>
        <w:t>收集全国各地优秀移动政务服务平台相关资料，与我市目前移动政务服务</w:t>
      </w:r>
      <w:r>
        <w:rPr>
          <w:rFonts w:hint="eastAsia" w:ascii="Segoe UI Symbol" w:hAnsi="Segoe UI Symbol" w:cs="宋体"/>
          <w:sz w:val="24"/>
          <w:szCs w:val="24"/>
          <w:lang w:eastAsia="zh-CN"/>
        </w:rPr>
        <w:t>应用</w:t>
      </w:r>
      <w:r>
        <w:rPr>
          <w:rFonts w:hint="eastAsia" w:ascii="Segoe UI Symbol" w:hAnsi="Segoe UI Symbol" w:cs="宋体"/>
          <w:sz w:val="24"/>
          <w:szCs w:val="24"/>
        </w:rPr>
        <w:t>现状进行对比分析，找出差距和改进方向。</w:t>
      </w:r>
    </w:p>
    <w:p>
      <w:pPr>
        <w:numPr>
          <w:ilvl w:val="0"/>
          <w:numId w:val="9"/>
        </w:numPr>
        <w:spacing w:line="360" w:lineRule="auto"/>
        <w:ind w:left="839" w:hanging="357"/>
        <w:outlineLvl w:val="3"/>
        <w:rPr>
          <w:rFonts w:ascii="宋体" w:hAnsi="宋体" w:cs="宋体"/>
          <w:b/>
          <w:sz w:val="24"/>
        </w:rPr>
      </w:pPr>
      <w:bookmarkStart w:id="72" w:name="_Toc503176822"/>
      <w:bookmarkStart w:id="73" w:name="_Toc509233199"/>
      <w:r>
        <w:rPr>
          <w:rFonts w:hint="eastAsia" w:ascii="宋体" w:hAnsi="宋体" w:cs="宋体"/>
          <w:b/>
          <w:sz w:val="24"/>
        </w:rPr>
        <w:t>建设方案编制</w:t>
      </w:r>
      <w:bookmarkEnd w:id="72"/>
      <w:bookmarkEnd w:id="73"/>
    </w:p>
    <w:p>
      <w:pPr>
        <w:spacing w:line="360" w:lineRule="auto"/>
        <w:ind w:firstLine="420"/>
        <w:rPr>
          <w:rFonts w:ascii="宋体" w:hAnsi="宋体"/>
          <w:sz w:val="24"/>
        </w:rPr>
      </w:pPr>
      <w:r>
        <w:rPr>
          <w:rFonts w:hint="eastAsia" w:ascii="宋体" w:hAnsi="宋体"/>
          <w:sz w:val="24"/>
        </w:rPr>
        <w:t>根据资料收集分析的结果，编制</w:t>
      </w:r>
      <w:r>
        <w:rPr>
          <w:rFonts w:hint="eastAsia" w:ascii="Segoe UI Symbol" w:hAnsi="Segoe UI Symbol" w:cs="宋体"/>
          <w:sz w:val="24"/>
        </w:rPr>
        <w:t>广州移动政务服务平台设计方案</w:t>
      </w:r>
      <w:r>
        <w:rPr>
          <w:rFonts w:hint="eastAsia" w:ascii="宋体" w:hAnsi="宋体"/>
          <w:sz w:val="24"/>
        </w:rPr>
        <w:t>。方案应包括需求分析、具体建设方案、安全系统设计、总投资概算、资金来源与落实、项目组织机构和人员、项目实施进度、效益与风险分析等。</w:t>
      </w:r>
    </w:p>
    <w:p>
      <w:pPr>
        <w:numPr>
          <w:ilvl w:val="0"/>
          <w:numId w:val="9"/>
        </w:numPr>
        <w:spacing w:line="360" w:lineRule="auto"/>
        <w:outlineLvl w:val="3"/>
        <w:rPr>
          <w:rFonts w:ascii="宋体" w:hAnsi="宋体" w:cs="宋体"/>
          <w:b/>
          <w:bCs/>
          <w:sz w:val="24"/>
        </w:rPr>
      </w:pPr>
      <w:bookmarkStart w:id="74" w:name="_Toc509233204"/>
      <w:r>
        <w:rPr>
          <w:rFonts w:hint="eastAsia" w:ascii="宋体" w:hAnsi="宋体" w:cs="宋体"/>
          <w:b/>
          <w:bCs/>
          <w:sz w:val="24"/>
        </w:rPr>
        <w:t>交付成果</w:t>
      </w:r>
      <w:bookmarkEnd w:id="74"/>
    </w:p>
    <w:p>
      <w:pPr>
        <w:pStyle w:val="48"/>
        <w:spacing w:line="360" w:lineRule="auto"/>
        <w:ind w:firstLine="480" w:firstLineChars="200"/>
        <w:rPr>
          <w:rFonts w:ascii="宋体" w:hAnsi="宋体"/>
          <w:sz w:val="24"/>
          <w:szCs w:val="24"/>
        </w:rPr>
      </w:pPr>
      <w:r>
        <w:rPr>
          <w:rFonts w:hint="eastAsia" w:ascii="宋体" w:hAnsi="宋体"/>
          <w:sz w:val="24"/>
          <w:szCs w:val="24"/>
        </w:rPr>
        <w:t>《</w:t>
      </w:r>
      <w:r>
        <w:rPr>
          <w:rFonts w:hint="eastAsia" w:ascii="Segoe UI Symbol" w:hAnsi="Segoe UI Symbol" w:cs="宋体"/>
          <w:sz w:val="24"/>
          <w:szCs w:val="24"/>
        </w:rPr>
        <w:t>广州移动政务服务平台</w:t>
      </w:r>
      <w:r>
        <w:rPr>
          <w:rFonts w:hint="eastAsia" w:ascii="Segoe UI Symbol" w:hAnsi="Segoe UI Symbol" w:cs="宋体"/>
          <w:sz w:val="24"/>
        </w:rPr>
        <w:t>设计方案</w:t>
      </w:r>
      <w:r>
        <w:rPr>
          <w:rFonts w:hint="eastAsia" w:ascii="宋体" w:hAnsi="宋体"/>
          <w:sz w:val="24"/>
          <w:szCs w:val="24"/>
        </w:rPr>
        <w:t>》1份。</w:t>
      </w:r>
    </w:p>
    <w:p>
      <w:pPr>
        <w:numPr>
          <w:ilvl w:val="0"/>
          <w:numId w:val="9"/>
        </w:numPr>
        <w:spacing w:line="360" w:lineRule="auto"/>
        <w:ind w:left="839" w:hanging="357"/>
        <w:outlineLvl w:val="3"/>
        <w:rPr>
          <w:rFonts w:ascii="宋体" w:hAnsi="宋体" w:cs="宋体"/>
          <w:b/>
          <w:bCs/>
          <w:sz w:val="24"/>
        </w:rPr>
      </w:pPr>
      <w:r>
        <w:rPr>
          <w:rFonts w:hint="eastAsia" w:ascii="宋体" w:hAnsi="宋体" w:cs="宋体"/>
          <w:b/>
          <w:bCs/>
          <w:sz w:val="24"/>
        </w:rPr>
        <w:t>其他</w:t>
      </w:r>
    </w:p>
    <w:p>
      <w:pPr>
        <w:pStyle w:val="48"/>
        <w:spacing w:line="360" w:lineRule="auto"/>
        <w:ind w:firstLine="480" w:firstLineChars="200"/>
        <w:rPr>
          <w:rFonts w:ascii="宋体" w:hAnsi="宋体"/>
          <w:sz w:val="24"/>
          <w:szCs w:val="24"/>
        </w:rPr>
      </w:pPr>
      <w:r>
        <w:rPr>
          <w:rFonts w:hint="eastAsia" w:ascii="宋体" w:hAnsi="宋体"/>
          <w:sz w:val="24"/>
          <w:szCs w:val="24"/>
        </w:rPr>
        <w:t>业主方如需就本项目服务范围各项工作的成果或进展情况进行汇报时，服务商应配合编制PPT或其他汇报材料（</w:t>
      </w:r>
      <w:r>
        <w:rPr>
          <w:rFonts w:hint="eastAsia" w:ascii="宋体" w:hAnsi="宋体" w:cs="宋体"/>
          <w:sz w:val="24"/>
        </w:rPr>
        <w:t>已装订</w:t>
      </w:r>
      <w:r>
        <w:rPr>
          <w:rFonts w:ascii="宋体" w:hAnsi="宋体" w:cs="宋体"/>
          <w:sz w:val="24"/>
        </w:rPr>
        <w:t>的纸质方案</w:t>
      </w:r>
      <w:r>
        <w:rPr>
          <w:rFonts w:hint="eastAsia" w:ascii="宋体" w:hAnsi="宋体" w:cs="宋体"/>
          <w:sz w:val="24"/>
        </w:rPr>
        <w:t>及</w:t>
      </w:r>
      <w:r>
        <w:rPr>
          <w:rFonts w:ascii="宋体" w:hAnsi="宋体" w:cs="宋体"/>
          <w:sz w:val="24"/>
        </w:rPr>
        <w:t>其他汇报材料</w:t>
      </w:r>
      <w:r>
        <w:rPr>
          <w:rFonts w:hint="eastAsia" w:ascii="宋体" w:hAnsi="宋体" w:cs="宋体"/>
          <w:sz w:val="24"/>
        </w:rPr>
        <w:t>的制作费用包含在总价中</w:t>
      </w:r>
      <w:r>
        <w:rPr>
          <w:rFonts w:hint="eastAsia" w:ascii="宋体" w:hAnsi="宋体"/>
          <w:sz w:val="24"/>
          <w:szCs w:val="24"/>
        </w:rPr>
        <w:t>）。</w:t>
      </w:r>
    </w:p>
    <w:p>
      <w:pPr>
        <w:pStyle w:val="48"/>
        <w:spacing w:line="360" w:lineRule="auto"/>
        <w:ind w:firstLine="480" w:firstLineChars="200"/>
        <w:rPr>
          <w:rFonts w:ascii="宋体" w:hAnsi="宋体"/>
          <w:sz w:val="24"/>
          <w:szCs w:val="24"/>
        </w:rPr>
      </w:pPr>
      <w:r>
        <w:rPr>
          <w:rFonts w:hint="eastAsia" w:ascii="宋体" w:hAnsi="宋体"/>
          <w:sz w:val="24"/>
          <w:szCs w:val="24"/>
        </w:rPr>
        <w:t>以上成果最终版本需提供电子版(介质为光盘或U盘)或纸质版各一套。在工作汇报或评审时，服务商应按需提供纸质版材料。</w:t>
      </w:r>
    </w:p>
    <w:p>
      <w:pPr>
        <w:pStyle w:val="48"/>
        <w:spacing w:line="360" w:lineRule="auto"/>
        <w:ind w:firstLine="480" w:firstLineChars="200"/>
        <w:rPr>
          <w:rFonts w:ascii="宋体" w:hAnsi="宋体"/>
          <w:sz w:val="24"/>
          <w:szCs w:val="24"/>
        </w:rPr>
      </w:pPr>
      <w:r>
        <w:rPr>
          <w:rFonts w:hint="eastAsia" w:ascii="宋体" w:hAnsi="宋体"/>
          <w:sz w:val="24"/>
          <w:szCs w:val="24"/>
        </w:rPr>
        <w:t>项目过程中，如因评审或其他原因，需要提供相关材料的打印装订服务，相关费用包含在总价中。</w:t>
      </w:r>
    </w:p>
    <w:p>
      <w:pPr>
        <w:pStyle w:val="48"/>
        <w:spacing w:line="360" w:lineRule="auto"/>
        <w:ind w:firstLine="480" w:firstLineChars="200"/>
        <w:rPr>
          <w:rFonts w:ascii="宋体" w:hAnsi="宋体"/>
          <w:sz w:val="24"/>
          <w:szCs w:val="24"/>
        </w:rPr>
      </w:pPr>
      <w:r>
        <w:rPr>
          <w:rFonts w:hint="eastAsia" w:ascii="宋体" w:hAnsi="宋体"/>
          <w:sz w:val="24"/>
          <w:szCs w:val="24"/>
        </w:rPr>
        <w:t>服务商需根据业主方实际工作需求，就业务需求、技术需求、标准化等方面提出意见或建议，并协助业主方编制和整理相关文档。</w:t>
      </w:r>
    </w:p>
    <w:p/>
    <w:p>
      <w:pPr>
        <w:pStyle w:val="58"/>
        <w:keepNext w:val="0"/>
        <w:keepLines w:val="0"/>
        <w:autoSpaceDE/>
        <w:adjustRightInd/>
        <w:spacing w:before="0" w:after="0"/>
        <w:ind w:left="425" w:hanging="425"/>
        <w:outlineLvl w:val="1"/>
        <w:rPr>
          <w:rFonts w:hAnsi="宋体" w:cs="宋体"/>
          <w:sz w:val="24"/>
          <w:lang w:bidi="ar"/>
        </w:rPr>
      </w:pPr>
      <w:bookmarkStart w:id="75" w:name="_Toc2375"/>
      <w:bookmarkStart w:id="76" w:name="_Toc7977"/>
      <w:r>
        <w:rPr>
          <w:rFonts w:hint="eastAsia" w:hAnsi="宋体" w:cs="宋体"/>
          <w:sz w:val="24"/>
          <w:lang w:bidi="ar"/>
        </w:rPr>
        <w:t>三、项目验收安排</w:t>
      </w:r>
      <w:bookmarkEnd w:id="75"/>
      <w:bookmarkEnd w:id="76"/>
    </w:p>
    <w:p>
      <w:pPr>
        <w:spacing w:line="360" w:lineRule="auto"/>
        <w:ind w:firstLine="480" w:firstLineChars="200"/>
        <w:rPr>
          <w:rFonts w:ascii="宋体" w:hAnsi="宋体" w:cs="宋体"/>
          <w:sz w:val="24"/>
          <w:szCs w:val="21"/>
          <w:lang w:bidi="ar"/>
        </w:rPr>
      </w:pPr>
      <w:r>
        <w:rPr>
          <w:rFonts w:hint="eastAsia" w:ascii="宋体" w:hAnsi="宋体" w:cs="宋体"/>
          <w:sz w:val="24"/>
          <w:szCs w:val="21"/>
          <w:lang w:bidi="ar"/>
        </w:rPr>
        <w:t>验收条件：服务商必须全面完成采购文件规定的项目范围内的各项工作内容，按照交付成果要求，完整地提交项目交付成果。</w:t>
      </w:r>
    </w:p>
    <w:p>
      <w:pPr>
        <w:spacing w:line="360" w:lineRule="auto"/>
        <w:ind w:firstLine="480" w:firstLineChars="200"/>
        <w:rPr>
          <w:rFonts w:ascii="宋体" w:hAnsi="宋体" w:cs="宋体"/>
          <w:sz w:val="24"/>
          <w:szCs w:val="21"/>
          <w:lang w:bidi="ar"/>
        </w:rPr>
      </w:pPr>
      <w:r>
        <w:rPr>
          <w:rFonts w:hint="eastAsia" w:ascii="宋体" w:hAnsi="宋体" w:cs="宋体"/>
          <w:sz w:val="24"/>
          <w:szCs w:val="21"/>
          <w:lang w:bidi="ar"/>
        </w:rPr>
        <w:t>验收方式：由采购人组织评审验收，验收文件为服务商最终提交成果。</w:t>
      </w:r>
    </w:p>
    <w:p>
      <w:pPr>
        <w:pStyle w:val="58"/>
        <w:keepNext w:val="0"/>
        <w:keepLines w:val="0"/>
        <w:autoSpaceDE/>
        <w:adjustRightInd/>
        <w:spacing w:before="0" w:after="0"/>
        <w:ind w:left="425" w:hanging="425"/>
        <w:outlineLvl w:val="1"/>
        <w:rPr>
          <w:rFonts w:hAnsi="宋体" w:cs="宋体"/>
          <w:sz w:val="24"/>
          <w:lang w:bidi="ar"/>
        </w:rPr>
      </w:pPr>
      <w:bookmarkStart w:id="77" w:name="_Toc6211"/>
      <w:bookmarkStart w:id="78" w:name="_Toc10442"/>
      <w:r>
        <w:rPr>
          <w:rFonts w:hint="eastAsia" w:hAnsi="宋体" w:cs="宋体"/>
          <w:sz w:val="24"/>
          <w:lang w:bidi="ar"/>
        </w:rPr>
        <w:t>四、其他要求</w:t>
      </w:r>
      <w:bookmarkEnd w:id="77"/>
      <w:bookmarkEnd w:id="78"/>
    </w:p>
    <w:p>
      <w:pPr>
        <w:spacing w:line="360" w:lineRule="auto"/>
        <w:ind w:firstLine="480" w:firstLineChars="200"/>
        <w:rPr>
          <w:rFonts w:hint="eastAsia" w:ascii="宋体" w:hAnsi="宋体" w:cs="宋体"/>
          <w:sz w:val="24"/>
          <w:szCs w:val="21"/>
          <w:lang w:bidi="ar"/>
        </w:rPr>
      </w:pPr>
      <w:r>
        <w:rPr>
          <w:rFonts w:hint="eastAsia" w:ascii="宋体" w:hAnsi="宋体" w:cs="宋体"/>
          <w:sz w:val="24"/>
          <w:szCs w:val="21"/>
          <w:lang w:bidi="ar"/>
        </w:rPr>
        <w:t>咨询项目团队人员要求：具有咨询工程师资格证书</w:t>
      </w:r>
      <w:r>
        <w:rPr>
          <w:rFonts w:hint="eastAsia" w:ascii="宋体" w:hAnsi="宋体" w:cs="宋体"/>
          <w:sz w:val="24"/>
          <w:szCs w:val="21"/>
          <w:lang w:val="en-US" w:eastAsia="zh-CN" w:bidi="ar"/>
        </w:rPr>
        <w:t>的咨询工程师3</w:t>
      </w:r>
      <w:r>
        <w:rPr>
          <w:rFonts w:hint="eastAsia" w:ascii="宋体" w:hAnsi="宋体" w:cs="宋体"/>
          <w:sz w:val="24"/>
          <w:szCs w:val="21"/>
          <w:lang w:bidi="ar"/>
        </w:rPr>
        <w:t>名。</w:t>
      </w:r>
    </w:p>
    <w:p>
      <w:pPr>
        <w:spacing w:line="360" w:lineRule="auto"/>
        <w:ind w:firstLine="480" w:firstLineChars="200"/>
        <w:rPr>
          <w:rFonts w:ascii="宋体" w:hAnsi="宋体" w:cs="宋体"/>
          <w:sz w:val="24"/>
          <w:szCs w:val="21"/>
          <w:lang w:bidi="ar"/>
        </w:rPr>
      </w:pPr>
      <w:r>
        <w:rPr>
          <w:rFonts w:hint="eastAsia" w:ascii="宋体" w:hAnsi="宋体" w:cs="宋体"/>
          <w:sz w:val="24"/>
          <w:szCs w:val="21"/>
          <w:lang w:bidi="ar"/>
        </w:rPr>
        <w:t>服务商必须保证按双方协商确定的名单到位，并必须专职从事咨询工作。若需更换人员的，必须提前10个工作日书面报采购人批准后方可更换。原则上不允许中途更换项目组成员。</w:t>
      </w:r>
    </w:p>
    <w:p>
      <w:pPr>
        <w:pStyle w:val="58"/>
        <w:keepNext w:val="0"/>
        <w:keepLines w:val="0"/>
        <w:autoSpaceDE/>
        <w:adjustRightInd/>
        <w:spacing w:before="0" w:after="0"/>
        <w:ind w:left="425" w:hanging="425"/>
        <w:outlineLvl w:val="1"/>
        <w:rPr>
          <w:rFonts w:hAnsi="宋体" w:cs="宋体"/>
          <w:sz w:val="24"/>
          <w:lang w:bidi="ar"/>
        </w:rPr>
      </w:pPr>
      <w:bookmarkStart w:id="79" w:name="_Toc27943"/>
      <w:bookmarkStart w:id="80" w:name="_Toc13945"/>
      <w:r>
        <w:rPr>
          <w:rFonts w:hint="eastAsia" w:hAnsi="宋体" w:cs="宋体"/>
          <w:sz w:val="24"/>
          <w:lang w:bidi="ar"/>
        </w:rPr>
        <w:t>五、付款方式</w:t>
      </w:r>
      <w:bookmarkEnd w:id="79"/>
      <w:bookmarkEnd w:id="80"/>
    </w:p>
    <w:p>
      <w:pPr>
        <w:spacing w:line="360" w:lineRule="auto"/>
        <w:ind w:firstLine="480" w:firstLineChars="200"/>
        <w:rPr>
          <w:rFonts w:ascii="宋体" w:hAnsi="宋体" w:cs="宋体"/>
          <w:sz w:val="24"/>
          <w:szCs w:val="21"/>
          <w:lang w:bidi="ar"/>
        </w:rPr>
      </w:pPr>
      <w:r>
        <w:rPr>
          <w:rFonts w:hint="eastAsia" w:ascii="宋体" w:hAnsi="宋体" w:cs="宋体"/>
          <w:sz w:val="24"/>
          <w:szCs w:val="21"/>
          <w:lang w:bidi="ar"/>
        </w:rPr>
        <w:t>（一）合同签订后15个工作日内，支付合同总金额的50%；</w:t>
      </w:r>
    </w:p>
    <w:p>
      <w:pPr>
        <w:spacing w:line="360" w:lineRule="auto"/>
        <w:ind w:firstLine="480" w:firstLineChars="200"/>
        <w:rPr>
          <w:rFonts w:ascii="宋体" w:hAnsi="宋体" w:cs="宋体"/>
          <w:sz w:val="24"/>
          <w:szCs w:val="21"/>
          <w:lang w:bidi="ar"/>
        </w:rPr>
      </w:pPr>
      <w:r>
        <w:rPr>
          <w:rFonts w:hint="eastAsia" w:ascii="宋体" w:hAnsi="宋体" w:cs="宋体"/>
          <w:sz w:val="24"/>
          <w:szCs w:val="21"/>
          <w:lang w:bidi="ar"/>
        </w:rPr>
        <w:t>（二）项目验收后15个工作日内，支付合同总金额的50%。</w:t>
      </w:r>
    </w:p>
    <w:p>
      <w:pPr>
        <w:spacing w:line="360" w:lineRule="auto"/>
        <w:ind w:firstLine="480" w:firstLineChars="200"/>
        <w:rPr>
          <w:rFonts w:ascii="宋体" w:hAnsi="宋体" w:cs="宋体"/>
          <w:sz w:val="24"/>
          <w:szCs w:val="21"/>
          <w:lang w:bidi="ar"/>
        </w:rPr>
      </w:pPr>
      <w:r>
        <w:rPr>
          <w:rFonts w:hint="eastAsia" w:ascii="宋体" w:hAnsi="宋体" w:cs="宋体"/>
          <w:sz w:val="24"/>
          <w:szCs w:val="21"/>
          <w:lang w:bidi="ar"/>
        </w:rPr>
        <w:t>注：付款期限自收到服务商开具的发票之日起计算，具体到帐期限以财政拨付实际到帐为准。付款方式以双方最终签订的合同为准。</w:t>
      </w:r>
    </w:p>
    <w:p>
      <w:pPr>
        <w:pStyle w:val="58"/>
        <w:keepNext w:val="0"/>
        <w:keepLines w:val="0"/>
        <w:autoSpaceDE/>
        <w:adjustRightInd/>
        <w:spacing w:before="0" w:after="0"/>
        <w:ind w:left="425" w:hanging="425"/>
        <w:outlineLvl w:val="1"/>
        <w:rPr>
          <w:rFonts w:hAnsi="宋体" w:cs="宋体"/>
          <w:sz w:val="24"/>
          <w:lang w:bidi="ar"/>
        </w:rPr>
      </w:pPr>
      <w:bookmarkStart w:id="81" w:name="_Toc18016"/>
      <w:bookmarkStart w:id="82" w:name="_Toc25959"/>
      <w:r>
        <w:rPr>
          <w:rFonts w:hint="eastAsia" w:hAnsi="宋体" w:cs="宋体"/>
          <w:sz w:val="24"/>
          <w:lang w:bidi="ar"/>
        </w:rPr>
        <w:t>六、附则</w:t>
      </w:r>
      <w:bookmarkEnd w:id="81"/>
      <w:bookmarkEnd w:id="82"/>
    </w:p>
    <w:p>
      <w:pPr>
        <w:spacing w:line="360" w:lineRule="auto"/>
        <w:ind w:firstLine="480" w:firstLineChars="200"/>
        <w:rPr>
          <w:rFonts w:ascii="宋体" w:hAnsi="宋体" w:cs="宋体"/>
          <w:sz w:val="24"/>
          <w:szCs w:val="21"/>
          <w:lang w:bidi="ar"/>
        </w:rPr>
      </w:pPr>
      <w:r>
        <w:rPr>
          <w:rFonts w:hint="eastAsia" w:ascii="宋体" w:hAnsi="宋体" w:cs="宋体"/>
          <w:sz w:val="24"/>
          <w:szCs w:val="21"/>
          <w:lang w:bidi="ar"/>
        </w:rPr>
        <w:t>合同签订后30天内提交项目成果。</w:t>
      </w:r>
    </w:p>
    <w:p>
      <w:pPr>
        <w:widowControl/>
        <w:jc w:val="left"/>
        <w:rPr>
          <w:rFonts w:asciiTheme="minorHAnsi" w:hAnsiTheme="minorHAnsi" w:eastAsiaTheme="minorEastAsia" w:cstheme="minorBidi"/>
          <w:szCs w:val="22"/>
        </w:rPr>
      </w:pPr>
    </w:p>
    <w:p>
      <w:pPr>
        <w:widowControl/>
        <w:jc w:val="left"/>
        <w:rPr>
          <w:rFonts w:eastAsiaTheme="minorEastAsia"/>
          <w:b/>
          <w:bCs/>
          <w:sz w:val="30"/>
          <w:szCs w:val="30"/>
        </w:rPr>
      </w:pPr>
      <w:bookmarkStart w:id="83" w:name="_Toc7016556"/>
      <w:r>
        <w:rPr>
          <w:sz w:val="30"/>
          <w:szCs w:val="30"/>
        </w:rPr>
        <w:br w:type="page"/>
      </w:r>
    </w:p>
    <w:p>
      <w:pPr>
        <w:pStyle w:val="25"/>
        <w:spacing w:before="0" w:after="0" w:line="360" w:lineRule="auto"/>
        <w:rPr>
          <w:rFonts w:ascii="Times New Roman" w:hAnsi="Times New Roman"/>
          <w:sz w:val="30"/>
          <w:szCs w:val="30"/>
        </w:rPr>
      </w:pPr>
      <w:bookmarkStart w:id="84" w:name="_Toc23220"/>
      <w:bookmarkStart w:id="85" w:name="_Toc2463"/>
      <w:r>
        <w:rPr>
          <w:rFonts w:ascii="Times New Roman" w:hAnsi="Times New Roman"/>
          <w:sz w:val="30"/>
          <w:szCs w:val="30"/>
        </w:rPr>
        <w:t>第三</w:t>
      </w:r>
      <w:r>
        <w:rPr>
          <w:rFonts w:hint="eastAsia" w:ascii="Times New Roman" w:hAnsi="Times New Roman"/>
          <w:sz w:val="30"/>
          <w:szCs w:val="30"/>
        </w:rPr>
        <w:t>部分</w:t>
      </w:r>
      <w:r>
        <w:rPr>
          <w:rFonts w:ascii="Times New Roman" w:hAnsi="Times New Roman"/>
          <w:sz w:val="30"/>
          <w:szCs w:val="30"/>
        </w:rPr>
        <w:t xml:space="preserve"> 合同格式</w:t>
      </w:r>
      <w:bookmarkEnd w:id="83"/>
      <w:bookmarkEnd w:id="84"/>
      <w:bookmarkEnd w:id="85"/>
    </w:p>
    <w:p>
      <w:pPr>
        <w:spacing w:line="360" w:lineRule="auto"/>
        <w:jc w:val="center"/>
        <w:rPr>
          <w:rFonts w:ascii="宋体" w:hAnsi="宋体" w:cs="宋体"/>
          <w:sz w:val="24"/>
          <w:szCs w:val="21"/>
          <w:lang w:bidi="ar"/>
        </w:rPr>
      </w:pPr>
    </w:p>
    <w:p>
      <w:pPr>
        <w:pStyle w:val="99"/>
        <w:snapToGrid w:val="0"/>
        <w:spacing w:line="360" w:lineRule="auto"/>
        <w:jc w:val="center"/>
        <w:rPr>
          <w:rFonts w:ascii="宋体" w:hAnsi="宋体"/>
          <w:sz w:val="24"/>
        </w:rPr>
      </w:pPr>
      <w:r>
        <w:rPr>
          <w:rFonts w:ascii="宋体" w:hAnsi="宋体"/>
          <w:sz w:val="24"/>
        </w:rPr>
        <w:t>合同以最终签署版本为准</w:t>
      </w:r>
    </w:p>
    <w:p>
      <w:pPr>
        <w:pStyle w:val="99"/>
        <w:spacing w:line="360" w:lineRule="auto"/>
        <w:jc w:val="center"/>
        <w:rPr>
          <w:rFonts w:ascii="宋体" w:hAnsi="宋体"/>
          <w:sz w:val="24"/>
        </w:rPr>
      </w:pPr>
    </w:p>
    <w:p>
      <w:pPr>
        <w:pStyle w:val="99"/>
        <w:snapToGrid w:val="0"/>
        <w:spacing w:line="360" w:lineRule="auto"/>
        <w:rPr>
          <w:rFonts w:ascii="宋体" w:hAnsi="宋体"/>
          <w:sz w:val="24"/>
        </w:rPr>
      </w:pPr>
      <w:r>
        <w:rPr>
          <w:rFonts w:hint="eastAsia" w:ascii="宋体" w:hAnsi="宋体"/>
          <w:sz w:val="24"/>
        </w:rPr>
        <w:t>合同编号：</w:t>
      </w:r>
    </w:p>
    <w:p>
      <w:pPr>
        <w:pStyle w:val="99"/>
        <w:snapToGrid w:val="0"/>
        <w:spacing w:line="360" w:lineRule="auto"/>
        <w:jc w:val="center"/>
        <w:rPr>
          <w:rFonts w:ascii="宋体" w:hAnsi="宋体"/>
          <w:sz w:val="24"/>
        </w:rPr>
      </w:pPr>
    </w:p>
    <w:p>
      <w:pPr>
        <w:pStyle w:val="99"/>
        <w:snapToGrid w:val="0"/>
        <w:spacing w:line="360" w:lineRule="auto"/>
        <w:jc w:val="center"/>
        <w:rPr>
          <w:rFonts w:ascii="宋体" w:hAnsi="宋体"/>
          <w:sz w:val="24"/>
        </w:rPr>
      </w:pPr>
    </w:p>
    <w:p>
      <w:pPr>
        <w:pStyle w:val="99"/>
        <w:snapToGrid w:val="0"/>
        <w:spacing w:line="360" w:lineRule="auto"/>
        <w:jc w:val="center"/>
        <w:rPr>
          <w:rFonts w:ascii="宋体" w:hAnsi="宋体"/>
          <w:sz w:val="24"/>
        </w:rPr>
      </w:pPr>
    </w:p>
    <w:p>
      <w:pPr>
        <w:pStyle w:val="99"/>
        <w:snapToGrid w:val="0"/>
        <w:spacing w:line="360" w:lineRule="auto"/>
        <w:jc w:val="center"/>
        <w:rPr>
          <w:rFonts w:ascii="宋体" w:hAnsi="宋体"/>
          <w:b/>
          <w:sz w:val="44"/>
        </w:rPr>
      </w:pPr>
      <w:r>
        <w:rPr>
          <w:rFonts w:hint="eastAsia" w:ascii="宋体" w:hAnsi="宋体"/>
          <w:b/>
          <w:sz w:val="44"/>
        </w:rPr>
        <w:t>广州市政府采购合同（草）</w:t>
      </w:r>
    </w:p>
    <w:p>
      <w:pPr>
        <w:pStyle w:val="99"/>
        <w:snapToGrid w:val="0"/>
        <w:spacing w:line="360" w:lineRule="auto"/>
        <w:jc w:val="center"/>
        <w:rPr>
          <w:rFonts w:ascii="宋体" w:hAnsi="宋体"/>
          <w:b/>
          <w:sz w:val="44"/>
        </w:rPr>
      </w:pPr>
      <w:r>
        <w:rPr>
          <w:rFonts w:hint="eastAsia" w:ascii="宋体" w:hAnsi="宋体"/>
          <w:b/>
          <w:sz w:val="44"/>
          <w:lang w:eastAsia="zh-CN"/>
        </w:rPr>
        <w:t>设计</w:t>
      </w:r>
      <w:r>
        <w:rPr>
          <w:rFonts w:hint="eastAsia" w:ascii="宋体" w:hAnsi="宋体"/>
          <w:b/>
          <w:sz w:val="44"/>
        </w:rPr>
        <w:t>咨询服务</w:t>
      </w:r>
    </w:p>
    <w:p>
      <w:pPr>
        <w:pStyle w:val="99"/>
        <w:snapToGrid w:val="0"/>
        <w:spacing w:line="360" w:lineRule="auto"/>
        <w:jc w:val="center"/>
        <w:rPr>
          <w:rFonts w:ascii="宋体" w:hAnsi="宋体"/>
          <w:sz w:val="24"/>
        </w:rPr>
      </w:pPr>
    </w:p>
    <w:p>
      <w:pPr>
        <w:pStyle w:val="99"/>
        <w:snapToGrid w:val="0"/>
        <w:spacing w:line="360" w:lineRule="auto"/>
        <w:jc w:val="center"/>
        <w:rPr>
          <w:rFonts w:ascii="宋体" w:hAnsi="宋体"/>
          <w:sz w:val="24"/>
        </w:rPr>
      </w:pPr>
    </w:p>
    <w:p>
      <w:pPr>
        <w:pStyle w:val="99"/>
        <w:snapToGrid w:val="0"/>
        <w:spacing w:line="360" w:lineRule="auto"/>
        <w:jc w:val="center"/>
        <w:rPr>
          <w:rFonts w:ascii="宋体" w:hAnsi="宋体"/>
          <w:sz w:val="24"/>
        </w:rPr>
      </w:pPr>
    </w:p>
    <w:p>
      <w:pPr>
        <w:pStyle w:val="99"/>
        <w:snapToGrid w:val="0"/>
        <w:spacing w:line="360" w:lineRule="auto"/>
        <w:jc w:val="center"/>
        <w:rPr>
          <w:rFonts w:ascii="宋体" w:hAnsi="宋体"/>
          <w:sz w:val="24"/>
        </w:rPr>
      </w:pPr>
    </w:p>
    <w:p>
      <w:pPr>
        <w:pStyle w:val="99"/>
        <w:snapToGrid w:val="0"/>
        <w:spacing w:line="360" w:lineRule="auto"/>
        <w:jc w:val="center"/>
        <w:rPr>
          <w:rFonts w:ascii="宋体" w:hAnsi="宋体"/>
          <w:sz w:val="24"/>
        </w:rPr>
      </w:pPr>
    </w:p>
    <w:p>
      <w:pPr>
        <w:pStyle w:val="99"/>
        <w:snapToGrid w:val="0"/>
        <w:spacing w:line="360" w:lineRule="auto"/>
        <w:jc w:val="center"/>
        <w:rPr>
          <w:rFonts w:ascii="宋体" w:hAnsi="宋体"/>
          <w:sz w:val="24"/>
        </w:rPr>
      </w:pPr>
    </w:p>
    <w:p>
      <w:pPr>
        <w:pStyle w:val="99"/>
        <w:snapToGrid w:val="0"/>
        <w:spacing w:line="360" w:lineRule="auto"/>
        <w:ind w:left="1860" w:leftChars="200" w:hanging="1440" w:hangingChars="600"/>
        <w:jc w:val="left"/>
        <w:rPr>
          <w:rFonts w:hint="eastAsia" w:ascii="宋体" w:hAnsi="宋体" w:eastAsia="宋体"/>
          <w:sz w:val="24"/>
          <w:lang w:eastAsia="zh-CN"/>
        </w:rPr>
      </w:pPr>
      <w:r>
        <w:rPr>
          <w:rFonts w:hint="eastAsia" w:ascii="宋体" w:hAnsi="宋体"/>
          <w:sz w:val="24"/>
        </w:rPr>
        <w:t>项目名称：</w:t>
      </w:r>
      <w:r>
        <w:rPr>
          <w:rFonts w:hint="eastAsia" w:ascii="宋体" w:hAnsi="宋体"/>
          <w:sz w:val="24"/>
          <w:lang w:eastAsia="zh-CN"/>
        </w:rPr>
        <w:t>广州移动政务服务平台设计咨询服务项目</w:t>
      </w:r>
    </w:p>
    <w:p>
      <w:pPr>
        <w:pStyle w:val="99"/>
        <w:snapToGrid w:val="0"/>
        <w:spacing w:line="360" w:lineRule="auto"/>
        <w:ind w:left="1860" w:leftChars="200" w:hanging="1440" w:hangingChars="600"/>
        <w:jc w:val="left"/>
        <w:rPr>
          <w:rFonts w:ascii="宋体" w:hAnsi="宋体"/>
          <w:sz w:val="24"/>
        </w:rPr>
      </w:pPr>
    </w:p>
    <w:p>
      <w:pPr>
        <w:pStyle w:val="99"/>
        <w:snapToGrid w:val="0"/>
        <w:spacing w:line="360" w:lineRule="auto"/>
        <w:ind w:firstLine="420"/>
        <w:rPr>
          <w:rFonts w:ascii="宋体" w:hAnsi="宋体"/>
          <w:sz w:val="24"/>
          <w:u w:val="single"/>
        </w:rPr>
      </w:pPr>
      <w:r>
        <w:rPr>
          <w:rFonts w:hint="eastAsia" w:ascii="宋体" w:hAnsi="宋体"/>
          <w:sz w:val="24"/>
        </w:rPr>
        <w:t>委托方（甲方）：</w:t>
      </w:r>
      <w:r>
        <w:rPr>
          <w:rFonts w:hint="eastAsia" w:ascii="宋体" w:hAnsi="宋体"/>
          <w:sz w:val="24"/>
          <w:u w:val="single"/>
        </w:rPr>
        <w:t>广州市政务服务数据管理局</w:t>
      </w:r>
    </w:p>
    <w:p>
      <w:pPr>
        <w:pStyle w:val="99"/>
        <w:snapToGrid w:val="0"/>
        <w:spacing w:line="360" w:lineRule="auto"/>
        <w:ind w:firstLine="420"/>
        <w:rPr>
          <w:rFonts w:ascii="宋体" w:hAnsi="宋体"/>
          <w:sz w:val="24"/>
          <w:u w:val="single"/>
        </w:rPr>
      </w:pPr>
      <w:r>
        <w:rPr>
          <w:rFonts w:hint="eastAsia" w:ascii="宋体" w:hAnsi="宋体"/>
          <w:sz w:val="24"/>
        </w:rPr>
        <w:t>受托方（乙方）：</w:t>
      </w:r>
    </w:p>
    <w:p>
      <w:pPr>
        <w:pStyle w:val="99"/>
        <w:snapToGrid w:val="0"/>
        <w:spacing w:line="360" w:lineRule="auto"/>
        <w:rPr>
          <w:rFonts w:ascii="宋体" w:hAnsi="宋体"/>
          <w:sz w:val="24"/>
        </w:rPr>
      </w:pPr>
    </w:p>
    <w:p>
      <w:pPr>
        <w:pStyle w:val="99"/>
        <w:snapToGrid w:val="0"/>
        <w:spacing w:line="360" w:lineRule="auto"/>
        <w:rPr>
          <w:rFonts w:ascii="宋体" w:hAnsi="宋体"/>
          <w:sz w:val="24"/>
        </w:rPr>
      </w:pPr>
    </w:p>
    <w:p>
      <w:pPr>
        <w:pStyle w:val="99"/>
        <w:snapToGrid w:val="0"/>
        <w:spacing w:line="360" w:lineRule="auto"/>
        <w:rPr>
          <w:rFonts w:ascii="宋体" w:hAnsi="宋体"/>
          <w:sz w:val="24"/>
        </w:rPr>
      </w:pPr>
    </w:p>
    <w:p>
      <w:pPr>
        <w:pStyle w:val="99"/>
        <w:snapToGrid w:val="0"/>
        <w:spacing w:line="360" w:lineRule="auto"/>
        <w:ind w:firstLine="420"/>
        <w:rPr>
          <w:rFonts w:ascii="宋体" w:hAnsi="宋体"/>
          <w:sz w:val="24"/>
          <w:u w:val="single"/>
        </w:rPr>
      </w:pPr>
      <w:r>
        <w:rPr>
          <w:rFonts w:hint="eastAsia" w:ascii="宋体" w:hAnsi="宋体"/>
          <w:sz w:val="24"/>
        </w:rPr>
        <w:t>签订时间：</w:t>
      </w:r>
      <w:r>
        <w:rPr>
          <w:rFonts w:hint="eastAsia" w:ascii="宋体" w:hAnsi="宋体"/>
          <w:sz w:val="24"/>
          <w:u w:val="single"/>
        </w:rPr>
        <w:t xml:space="preserve">2020年 </w:t>
      </w:r>
      <w:r>
        <w:rPr>
          <w:rFonts w:ascii="宋体" w:hAnsi="宋体"/>
          <w:sz w:val="24"/>
          <w:u w:val="single"/>
        </w:rPr>
        <w:t xml:space="preserve">  </w:t>
      </w:r>
      <w:r>
        <w:rPr>
          <w:rFonts w:hint="eastAsia" w:ascii="宋体" w:hAnsi="宋体"/>
          <w:sz w:val="24"/>
          <w:u w:val="single"/>
        </w:rPr>
        <w:t xml:space="preserve">月 </w:t>
      </w:r>
      <w:r>
        <w:rPr>
          <w:rFonts w:ascii="宋体" w:hAnsi="宋体"/>
          <w:sz w:val="24"/>
          <w:u w:val="single"/>
        </w:rPr>
        <w:t xml:space="preserve">  </w:t>
      </w:r>
      <w:r>
        <w:rPr>
          <w:rFonts w:hint="eastAsia" w:ascii="宋体" w:hAnsi="宋体"/>
          <w:sz w:val="24"/>
          <w:u w:val="single"/>
        </w:rPr>
        <w:t>日</w:t>
      </w:r>
    </w:p>
    <w:p>
      <w:pPr>
        <w:pStyle w:val="99"/>
        <w:snapToGrid w:val="0"/>
        <w:spacing w:line="360" w:lineRule="auto"/>
        <w:ind w:firstLine="420"/>
        <w:rPr>
          <w:rFonts w:ascii="宋体" w:hAnsi="宋体"/>
          <w:sz w:val="24"/>
        </w:rPr>
      </w:pPr>
      <w:r>
        <w:rPr>
          <w:rFonts w:hint="eastAsia" w:ascii="宋体" w:hAnsi="宋体"/>
          <w:sz w:val="24"/>
        </w:rPr>
        <w:t>签订地点：</w:t>
      </w:r>
      <w:r>
        <w:rPr>
          <w:rFonts w:hint="eastAsia" w:ascii="宋体" w:hAnsi="宋体"/>
          <w:sz w:val="24"/>
          <w:u w:val="single"/>
        </w:rPr>
        <w:t>广州市天河区</w:t>
      </w:r>
    </w:p>
    <w:p>
      <w:pPr>
        <w:pStyle w:val="99"/>
        <w:snapToGrid w:val="0"/>
        <w:spacing w:line="360" w:lineRule="auto"/>
        <w:rPr>
          <w:rFonts w:ascii="宋体" w:hAnsi="宋体"/>
          <w:sz w:val="24"/>
          <w:u w:val="single"/>
        </w:rPr>
      </w:pPr>
    </w:p>
    <w:p>
      <w:pPr>
        <w:pStyle w:val="99"/>
        <w:snapToGrid w:val="0"/>
        <w:spacing w:line="360" w:lineRule="auto"/>
        <w:rPr>
          <w:rFonts w:ascii="宋体" w:hAnsi="宋体"/>
          <w:sz w:val="24"/>
          <w:u w:val="single"/>
        </w:rPr>
      </w:pPr>
    </w:p>
    <w:p>
      <w:pPr>
        <w:pStyle w:val="99"/>
        <w:snapToGrid w:val="0"/>
        <w:spacing w:line="360" w:lineRule="auto"/>
        <w:rPr>
          <w:rFonts w:ascii="宋体" w:hAnsi="宋体"/>
          <w:sz w:val="24"/>
          <w:u w:val="single"/>
        </w:rPr>
      </w:pPr>
    </w:p>
    <w:p>
      <w:pPr>
        <w:pStyle w:val="99"/>
        <w:snapToGrid w:val="0"/>
        <w:spacing w:line="360" w:lineRule="auto"/>
        <w:ind w:firstLine="555"/>
        <w:rPr>
          <w:rFonts w:ascii="宋体" w:hAnsi="宋体"/>
          <w:sz w:val="24"/>
          <w:u w:val="single"/>
        </w:rPr>
      </w:pPr>
      <w:r>
        <w:rPr>
          <w:rFonts w:ascii="宋体" w:hAnsi="宋体" w:cs="Arial"/>
          <w:sz w:val="24"/>
        </w:rPr>
        <w:t>依据《中华人民共和国合同法》的规定，甲乙双方就</w:t>
      </w:r>
      <w:r>
        <w:rPr>
          <w:rFonts w:hint="eastAsia" w:ascii="宋体" w:hAnsi="宋体"/>
          <w:sz w:val="24"/>
          <w:u w:val="single"/>
        </w:rPr>
        <w:t>广州移动政务服务平台</w:t>
      </w:r>
      <w:r>
        <w:rPr>
          <w:rFonts w:hint="eastAsia" w:ascii="宋体" w:hAnsi="宋体"/>
          <w:sz w:val="24"/>
          <w:u w:val="single"/>
          <w:lang w:eastAsia="zh-CN"/>
        </w:rPr>
        <w:t>设计咨询服务</w:t>
      </w:r>
      <w:r>
        <w:rPr>
          <w:rFonts w:ascii="宋体" w:hAnsi="宋体" w:cs="Arial"/>
          <w:sz w:val="24"/>
        </w:rPr>
        <w:t>事宜经协商一致，签订本合同。</w:t>
      </w:r>
      <w:r>
        <w:rPr>
          <w:rFonts w:hint="eastAsia" w:ascii="宋体" w:hAnsi="宋体" w:cs="Arial"/>
          <w:sz w:val="24"/>
          <w:lang w:eastAsia="zh-CN"/>
        </w:rPr>
        <w:t>广州移动政务服务平台设计咨询服务项目</w:t>
      </w:r>
      <w:r>
        <w:rPr>
          <w:rFonts w:hint="eastAsia" w:ascii="宋体" w:hAnsi="宋体" w:cs="Arial"/>
          <w:sz w:val="24"/>
        </w:rPr>
        <w:t>招标文件、投标文件、经甲方同意的项目实施方案为</w:t>
      </w:r>
      <w:r>
        <w:rPr>
          <w:rFonts w:ascii="宋体" w:hAnsi="宋体" w:cs="Arial"/>
          <w:sz w:val="24"/>
        </w:rPr>
        <w:t>本合同不可分割的组成部分</w:t>
      </w:r>
      <w:r>
        <w:rPr>
          <w:rFonts w:hint="eastAsia" w:ascii="宋体" w:hAnsi="宋体" w:cs="Arial"/>
          <w:sz w:val="24"/>
        </w:rPr>
        <w:t>，以上文件具有同等法律效力，若以上文件与本合同不一致或冲突的，以对乙方要求较高或更有利甲方解释为准。</w:t>
      </w:r>
    </w:p>
    <w:p>
      <w:pPr>
        <w:adjustRightInd w:val="0"/>
        <w:snapToGrid w:val="0"/>
        <w:spacing w:line="360" w:lineRule="auto"/>
        <w:ind w:firstLine="482" w:firstLineChars="200"/>
        <w:rPr>
          <w:rFonts w:ascii="宋体" w:hAnsi="宋体"/>
          <w:b/>
          <w:sz w:val="24"/>
        </w:rPr>
      </w:pPr>
      <w:r>
        <w:rPr>
          <w:rFonts w:ascii="宋体" w:hAnsi="宋体"/>
          <w:b/>
          <w:sz w:val="24"/>
        </w:rPr>
        <w:t>一、</w:t>
      </w:r>
      <w:r>
        <w:rPr>
          <w:rFonts w:hint="eastAsia" w:ascii="宋体" w:hAnsi="宋体"/>
          <w:b/>
          <w:sz w:val="24"/>
        </w:rPr>
        <w:t>研究</w:t>
      </w:r>
      <w:r>
        <w:rPr>
          <w:rFonts w:ascii="宋体" w:hAnsi="宋体"/>
          <w:b/>
          <w:sz w:val="24"/>
        </w:rPr>
        <w:t>咨询的内容、形式和要求：</w:t>
      </w:r>
    </w:p>
    <w:p>
      <w:pPr>
        <w:pStyle w:val="67"/>
        <w:spacing w:line="360" w:lineRule="auto"/>
        <w:ind w:firstLine="424" w:firstLineChars="177"/>
        <w:rPr>
          <w:rFonts w:ascii="宋体" w:hAnsi="宋体"/>
          <w:sz w:val="24"/>
          <w:szCs w:val="24"/>
        </w:rPr>
      </w:pPr>
      <w:r>
        <w:rPr>
          <w:rFonts w:hint="eastAsia" w:ascii="宋体" w:hAnsi="宋体"/>
          <w:sz w:val="24"/>
          <w:szCs w:val="24"/>
        </w:rPr>
        <w:t>本项目主要服务范围是为</w:t>
      </w:r>
      <w:r>
        <w:rPr>
          <w:rFonts w:hint="eastAsia" w:ascii="宋体" w:hAnsi="宋体"/>
          <w:sz w:val="24"/>
          <w:szCs w:val="24"/>
          <w:lang w:eastAsia="zh-CN"/>
        </w:rPr>
        <w:t>广州移动政务服务平台</w:t>
      </w:r>
      <w:r>
        <w:rPr>
          <w:rFonts w:hint="eastAsia" w:ascii="宋体" w:hAnsi="宋体"/>
          <w:sz w:val="24"/>
          <w:szCs w:val="24"/>
        </w:rPr>
        <w:t>提供</w:t>
      </w:r>
      <w:r>
        <w:rPr>
          <w:rFonts w:hint="eastAsia" w:ascii="宋体" w:hAnsi="宋体"/>
          <w:sz w:val="24"/>
          <w:szCs w:val="24"/>
          <w:lang w:eastAsia="zh-CN"/>
        </w:rPr>
        <w:t>设计</w:t>
      </w:r>
      <w:r>
        <w:rPr>
          <w:rFonts w:hint="eastAsia" w:ascii="宋体" w:hAnsi="宋体"/>
          <w:sz w:val="24"/>
          <w:szCs w:val="24"/>
        </w:rPr>
        <w:t>咨询服务。</w:t>
      </w:r>
    </w:p>
    <w:p>
      <w:pPr>
        <w:snapToGrid w:val="0"/>
        <w:spacing w:line="360" w:lineRule="auto"/>
        <w:ind w:firstLine="480" w:firstLineChars="200"/>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需求收集分析</w:t>
      </w:r>
    </w:p>
    <w:p>
      <w:pPr>
        <w:snapToGrid w:val="0"/>
        <w:spacing w:line="360" w:lineRule="auto"/>
        <w:ind w:firstLine="480" w:firstLineChars="200"/>
        <w:rPr>
          <w:rFonts w:ascii="宋体" w:hAnsi="宋体"/>
          <w:sz w:val="24"/>
        </w:rPr>
      </w:pPr>
      <w:r>
        <w:rPr>
          <w:rFonts w:hint="eastAsia" w:ascii="宋体" w:hAnsi="宋体"/>
          <w:sz w:val="24"/>
        </w:rPr>
        <w:t>整理业主方前期初步收集的市直各部门、社会机构的移动服务有关资料，对资料进行详细的梳理和分析，评估各项移动服务纳入广州移动政务服务平台的必要性、合理性、可行性。</w:t>
      </w:r>
    </w:p>
    <w:p>
      <w:pPr>
        <w:snapToGrid w:val="0"/>
        <w:spacing w:line="360" w:lineRule="auto"/>
        <w:ind w:firstLine="480" w:firstLineChars="200"/>
        <w:rPr>
          <w:rFonts w:ascii="宋体" w:hAnsi="宋体"/>
          <w:sz w:val="24"/>
        </w:rPr>
      </w:pPr>
      <w:r>
        <w:rPr>
          <w:rFonts w:hint="eastAsia" w:ascii="宋体" w:hAnsi="宋体"/>
          <w:sz w:val="24"/>
        </w:rPr>
        <w:t>收集全国各地优秀移动政务服务平台相关资料，与我市目前移动政务服务平台建设现状进行对比分析，找出差距和改进方向。</w:t>
      </w:r>
    </w:p>
    <w:p>
      <w:pPr>
        <w:snapToGrid w:val="0"/>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建设方案编制</w:t>
      </w:r>
    </w:p>
    <w:p>
      <w:pPr>
        <w:snapToGrid w:val="0"/>
        <w:spacing w:line="360" w:lineRule="auto"/>
        <w:ind w:firstLine="480" w:firstLineChars="200"/>
        <w:rPr>
          <w:rFonts w:ascii="宋体" w:hAnsi="宋体"/>
          <w:sz w:val="24"/>
        </w:rPr>
      </w:pPr>
      <w:r>
        <w:rPr>
          <w:rFonts w:hint="eastAsia" w:ascii="宋体" w:hAnsi="宋体"/>
          <w:sz w:val="24"/>
        </w:rPr>
        <w:t>根据资料收集分析的结果，结合我市移动政务服务平台发展现状，编制</w:t>
      </w:r>
      <w:r>
        <w:rPr>
          <w:rFonts w:hint="eastAsia" w:ascii="宋体" w:hAnsi="宋体"/>
          <w:sz w:val="24"/>
          <w:lang w:eastAsia="zh-CN"/>
        </w:rPr>
        <w:t>广州移动政务服务平台设计咨询服务项目</w:t>
      </w:r>
      <w:r>
        <w:rPr>
          <w:rFonts w:hint="eastAsia" w:ascii="宋体" w:hAnsi="宋体"/>
          <w:sz w:val="24"/>
        </w:rPr>
        <w:t>设计方案。</w:t>
      </w:r>
    </w:p>
    <w:p>
      <w:pPr>
        <w:snapToGrid w:val="0"/>
        <w:spacing w:line="360" w:lineRule="auto"/>
        <w:ind w:firstLine="480" w:firstLineChars="200"/>
        <w:rPr>
          <w:rFonts w:ascii="宋体" w:hAnsi="宋体"/>
          <w:sz w:val="24"/>
        </w:rPr>
      </w:pPr>
      <w:r>
        <w:rPr>
          <w:rFonts w:hint="eastAsia" w:ascii="宋体" w:hAnsi="宋体"/>
          <w:sz w:val="24"/>
        </w:rPr>
        <w:t>方案应包括需求分析、具体建设方案、安全系统设计、总投资概算、资金来源与落实、项目组织机构和人员、项目实施进度、效益与风险分析等。</w:t>
      </w:r>
    </w:p>
    <w:p>
      <w:pPr>
        <w:snapToGrid w:val="0"/>
        <w:spacing w:line="360" w:lineRule="auto"/>
        <w:ind w:firstLine="480" w:firstLineChars="200"/>
        <w:rPr>
          <w:rFonts w:ascii="宋体" w:hAnsi="宋体"/>
          <w:sz w:val="24"/>
        </w:rPr>
      </w:pPr>
      <w:r>
        <w:rPr>
          <w:rFonts w:hint="eastAsia" w:ascii="宋体" w:hAnsi="宋体"/>
          <w:sz w:val="24"/>
        </w:rPr>
        <w:t>3.</w:t>
      </w:r>
      <w:r>
        <w:rPr>
          <w:rFonts w:hint="eastAsia" w:ascii="宋体" w:hAnsi="宋体"/>
          <w:sz w:val="24"/>
        </w:rPr>
        <w:tab/>
      </w:r>
      <w:r>
        <w:rPr>
          <w:rFonts w:hint="eastAsia" w:ascii="宋体" w:hAnsi="宋体"/>
          <w:sz w:val="24"/>
        </w:rPr>
        <w:t>交付成果</w:t>
      </w:r>
    </w:p>
    <w:p>
      <w:pPr>
        <w:snapToGrid w:val="0"/>
        <w:spacing w:line="360" w:lineRule="auto"/>
        <w:ind w:firstLine="480" w:firstLineChars="200"/>
        <w:rPr>
          <w:rFonts w:ascii="宋体" w:hAnsi="宋体"/>
          <w:sz w:val="24"/>
        </w:rPr>
      </w:pPr>
      <w:r>
        <w:rPr>
          <w:rFonts w:hint="eastAsia" w:ascii="宋体" w:hAnsi="宋体"/>
          <w:sz w:val="24"/>
        </w:rPr>
        <w:t>《</w:t>
      </w:r>
      <w:r>
        <w:rPr>
          <w:rFonts w:hint="eastAsia" w:ascii="宋体" w:hAnsi="宋体"/>
          <w:sz w:val="24"/>
          <w:lang w:eastAsia="zh-CN"/>
        </w:rPr>
        <w:t>广州移动政务服务平台设计</w:t>
      </w:r>
      <w:r>
        <w:rPr>
          <w:rFonts w:hint="eastAsia" w:ascii="宋体" w:hAnsi="宋体"/>
          <w:sz w:val="24"/>
        </w:rPr>
        <w:t>方案》1份。</w:t>
      </w:r>
    </w:p>
    <w:p>
      <w:pPr>
        <w:snapToGrid w:val="0"/>
        <w:spacing w:line="360" w:lineRule="auto"/>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 xml:space="preserve"> 其他</w:t>
      </w:r>
    </w:p>
    <w:p>
      <w:pPr>
        <w:snapToGrid w:val="0"/>
        <w:spacing w:line="360" w:lineRule="auto"/>
        <w:ind w:firstLine="480" w:firstLineChars="200"/>
        <w:rPr>
          <w:rFonts w:ascii="宋体" w:hAnsi="宋体"/>
          <w:sz w:val="24"/>
        </w:rPr>
      </w:pPr>
      <w:r>
        <w:rPr>
          <w:rFonts w:hint="eastAsia" w:ascii="宋体" w:hAnsi="宋体"/>
          <w:sz w:val="24"/>
        </w:rPr>
        <w:t>业主方如需就本项目服务范围各项工作的成果或进展情况进行汇报时，服务商应配合编制PPT或其他汇报材料（已装订的纸质方案及其他汇报材料的制作费用包含在总价中）。</w:t>
      </w:r>
    </w:p>
    <w:p>
      <w:pPr>
        <w:snapToGrid w:val="0"/>
        <w:spacing w:line="360" w:lineRule="auto"/>
        <w:ind w:firstLine="480" w:firstLineChars="200"/>
        <w:rPr>
          <w:rFonts w:ascii="宋体" w:hAnsi="宋体"/>
          <w:sz w:val="24"/>
        </w:rPr>
      </w:pPr>
      <w:r>
        <w:rPr>
          <w:rFonts w:hint="eastAsia" w:ascii="宋体" w:hAnsi="宋体"/>
          <w:sz w:val="24"/>
        </w:rPr>
        <w:t>以上成果最终版本需提供电子版(介质为光盘或U盘)或纸质版各一套。在工作汇报或评审时，服务商应按需提供纸质版材料。</w:t>
      </w:r>
    </w:p>
    <w:p>
      <w:pPr>
        <w:snapToGrid w:val="0"/>
        <w:spacing w:line="360" w:lineRule="auto"/>
        <w:ind w:firstLine="480" w:firstLineChars="200"/>
        <w:rPr>
          <w:rFonts w:ascii="宋体" w:hAnsi="宋体"/>
          <w:sz w:val="24"/>
        </w:rPr>
      </w:pPr>
      <w:r>
        <w:rPr>
          <w:rFonts w:hint="eastAsia" w:ascii="宋体" w:hAnsi="宋体"/>
          <w:sz w:val="24"/>
        </w:rPr>
        <w:t>项目过程中，如因评审或其他原因，需要提供相关材料的打印装订服务，相关费用包含在总价中。</w:t>
      </w:r>
    </w:p>
    <w:p>
      <w:pPr>
        <w:snapToGrid w:val="0"/>
        <w:spacing w:line="360" w:lineRule="auto"/>
        <w:ind w:firstLine="480" w:firstLineChars="200"/>
        <w:rPr>
          <w:rFonts w:ascii="宋体" w:hAnsi="宋体"/>
          <w:sz w:val="24"/>
        </w:rPr>
      </w:pPr>
      <w:r>
        <w:rPr>
          <w:rFonts w:hint="eastAsia" w:ascii="宋体" w:hAnsi="宋体"/>
          <w:sz w:val="24"/>
        </w:rPr>
        <w:t>服务商需根据业主方实际工作需求，就业务需求、技术需求、标准化等方面提出意见或建议，并协助业主方编制和整理相关文档。</w:t>
      </w:r>
    </w:p>
    <w:p>
      <w:pPr>
        <w:snapToGrid w:val="0"/>
        <w:spacing w:line="360" w:lineRule="auto"/>
        <w:ind w:firstLine="480" w:firstLineChars="200"/>
        <w:rPr>
          <w:rFonts w:ascii="宋体" w:hAnsi="宋体"/>
          <w:sz w:val="24"/>
        </w:rPr>
      </w:pPr>
      <w:r>
        <w:rPr>
          <w:rFonts w:ascii="宋体" w:hAnsi="宋体"/>
          <w:sz w:val="24"/>
        </w:rPr>
        <w:t>注：交付成果的知识产权属于甲方。</w:t>
      </w:r>
    </w:p>
    <w:p>
      <w:pPr>
        <w:snapToGrid w:val="0"/>
        <w:spacing w:line="360" w:lineRule="auto"/>
        <w:rPr>
          <w:rFonts w:ascii="宋体" w:hAnsi="宋体"/>
          <w:b/>
          <w:sz w:val="24"/>
        </w:rPr>
      </w:pPr>
      <w:r>
        <w:rPr>
          <w:rFonts w:ascii="宋体" w:hAnsi="宋体"/>
          <w:b/>
          <w:sz w:val="24"/>
        </w:rPr>
        <w:t>二、履行的期限、地点和方式：</w:t>
      </w:r>
    </w:p>
    <w:p>
      <w:pPr>
        <w:snapToGrid w:val="0"/>
        <w:spacing w:line="360" w:lineRule="auto"/>
        <w:ind w:firstLine="480" w:firstLineChars="200"/>
        <w:rPr>
          <w:rFonts w:ascii="宋体" w:hAnsi="宋体"/>
          <w:sz w:val="24"/>
        </w:rPr>
      </w:pPr>
      <w:r>
        <w:rPr>
          <w:rFonts w:ascii="宋体" w:hAnsi="宋体"/>
          <w:sz w:val="24"/>
        </w:rPr>
        <w:t>乙方应在</w:t>
      </w:r>
      <w:r>
        <w:rPr>
          <w:rFonts w:hint="eastAsia" w:ascii="宋体" w:hAnsi="宋体"/>
          <w:sz w:val="24"/>
        </w:rPr>
        <w:t>合同签订</w:t>
      </w:r>
      <w:r>
        <w:rPr>
          <w:rFonts w:ascii="宋体" w:hAnsi="宋体"/>
          <w:sz w:val="24"/>
        </w:rPr>
        <w:t>30</w:t>
      </w:r>
      <w:r>
        <w:rPr>
          <w:rFonts w:hint="eastAsia" w:ascii="宋体" w:hAnsi="宋体"/>
          <w:sz w:val="24"/>
        </w:rPr>
        <w:t>天内</w:t>
      </w:r>
      <w:r>
        <w:rPr>
          <w:rFonts w:ascii="宋体" w:hAnsi="宋体"/>
          <w:sz w:val="24"/>
        </w:rPr>
        <w:t>交付工作成果。本合同在</w:t>
      </w:r>
      <w:r>
        <w:rPr>
          <w:rFonts w:ascii="宋体" w:hAnsi="宋体"/>
          <w:sz w:val="24"/>
          <w:u w:val="single"/>
        </w:rPr>
        <w:t xml:space="preserve">  广州市 </w:t>
      </w:r>
      <w:r>
        <w:rPr>
          <w:rFonts w:ascii="宋体" w:hAnsi="宋体"/>
          <w:sz w:val="24"/>
        </w:rPr>
        <w:t>履行。</w:t>
      </w:r>
    </w:p>
    <w:p>
      <w:pPr>
        <w:snapToGrid w:val="0"/>
        <w:spacing w:line="360" w:lineRule="auto"/>
        <w:ind w:firstLine="480"/>
        <w:rPr>
          <w:rFonts w:ascii="宋体" w:hAnsi="宋体"/>
          <w:sz w:val="24"/>
        </w:rPr>
      </w:pPr>
      <w:r>
        <w:rPr>
          <w:rFonts w:ascii="宋体" w:hAnsi="宋体"/>
          <w:sz w:val="24"/>
        </w:rPr>
        <w:t>本合同的履行方式：</w:t>
      </w:r>
    </w:p>
    <w:p>
      <w:pPr>
        <w:snapToGrid w:val="0"/>
        <w:spacing w:line="360" w:lineRule="auto"/>
        <w:ind w:firstLine="480"/>
        <w:rPr>
          <w:rFonts w:ascii="宋体" w:hAnsi="宋体"/>
          <w:sz w:val="24"/>
        </w:rPr>
      </w:pPr>
      <w:r>
        <w:rPr>
          <w:rFonts w:ascii="宋体" w:hAnsi="宋体"/>
          <w:sz w:val="24"/>
        </w:rPr>
        <w:t>乙方全面完成本项目采购文件规定的项目范围内的各项工作内容，按照交付成果要求，完整地提交项目各阶段的交付成果。</w:t>
      </w:r>
    </w:p>
    <w:p>
      <w:pPr>
        <w:snapToGrid w:val="0"/>
        <w:spacing w:line="360" w:lineRule="auto"/>
        <w:ind w:firstLine="480"/>
        <w:rPr>
          <w:rFonts w:ascii="宋体" w:hAnsi="宋体"/>
          <w:sz w:val="24"/>
        </w:rPr>
      </w:pPr>
      <w:r>
        <w:rPr>
          <w:rFonts w:ascii="宋体" w:hAnsi="宋体"/>
          <w:sz w:val="24"/>
        </w:rPr>
        <w:t>合同执行期间，乙方应根据甲方工作需要，安排</w:t>
      </w:r>
      <w:r>
        <w:rPr>
          <w:rFonts w:ascii="宋体" w:hAnsi="宋体"/>
          <w:sz w:val="24"/>
          <w:u w:val="single"/>
        </w:rPr>
        <w:t xml:space="preserve">  2  </w:t>
      </w:r>
      <w:r>
        <w:rPr>
          <w:rFonts w:ascii="宋体" w:hAnsi="宋体"/>
          <w:sz w:val="24"/>
        </w:rPr>
        <w:t>名咨询工程师</w:t>
      </w:r>
      <w:r>
        <w:rPr>
          <w:rFonts w:hint="eastAsia" w:ascii="宋体" w:hAnsi="宋体"/>
          <w:sz w:val="24"/>
        </w:rPr>
        <w:t>：</w:t>
      </w:r>
    </w:p>
    <w:p>
      <w:pPr>
        <w:spacing w:line="360" w:lineRule="auto"/>
        <w:ind w:firstLine="420"/>
        <w:rPr>
          <w:rFonts w:ascii="宋体" w:hAnsi="宋体" w:cs="宋体"/>
          <w:sz w:val="24"/>
        </w:rPr>
      </w:pPr>
      <w:r>
        <w:rPr>
          <w:rFonts w:hint="eastAsia" w:ascii="宋体" w:hAnsi="宋体" w:cs="宋体"/>
          <w:sz w:val="24"/>
        </w:rPr>
        <w:t>1、项目总咨询设计师1名，要求硕士以上学历，具有高级或以上资格或职称，并从事电子政务相关项目管理或咨询设计相关工作5年以上，总体策划设计、编制项目相关方案，并对项目质量把关、负责。</w:t>
      </w:r>
    </w:p>
    <w:p>
      <w:pPr>
        <w:spacing w:line="360" w:lineRule="auto"/>
        <w:ind w:firstLine="420"/>
        <w:rPr>
          <w:rFonts w:ascii="宋体" w:hAnsi="宋体" w:cs="宋体"/>
          <w:sz w:val="24"/>
        </w:rPr>
      </w:pPr>
      <w:r>
        <w:rPr>
          <w:rFonts w:hint="eastAsia" w:ascii="宋体" w:hAnsi="宋体" w:cs="宋体"/>
          <w:sz w:val="24"/>
        </w:rPr>
        <w:t>2、项目咨询设计工程师</w:t>
      </w:r>
      <w:r>
        <w:rPr>
          <w:rFonts w:ascii="宋体" w:hAnsi="宋体" w:cs="宋体"/>
          <w:sz w:val="24"/>
        </w:rPr>
        <w:t>1</w:t>
      </w:r>
      <w:r>
        <w:rPr>
          <w:rFonts w:hint="eastAsia" w:ascii="宋体" w:hAnsi="宋体" w:cs="宋体"/>
          <w:sz w:val="24"/>
        </w:rPr>
        <w:t>名，要求本科以上学历，应具备中级以上职称，并从事电子政务相关项目管理或咨询设计相关工作3年以上，具备咨询文档编制、文案处理等能力，配合项目总咨询设计师工作。</w:t>
      </w:r>
    </w:p>
    <w:p>
      <w:pPr>
        <w:snapToGrid w:val="0"/>
        <w:spacing w:line="360" w:lineRule="auto"/>
        <w:ind w:firstLine="480"/>
        <w:rPr>
          <w:rFonts w:ascii="宋体" w:hAnsi="宋体"/>
          <w:sz w:val="24"/>
        </w:rPr>
      </w:pPr>
      <w:r>
        <w:rPr>
          <w:rFonts w:hint="eastAsia" w:ascii="宋体" w:hAnsi="宋体" w:cs="宋体"/>
          <w:sz w:val="24"/>
        </w:rPr>
        <w:t>乙方必须保证按甲乙双方协商确定的名单到位，并必须专职从事咨询工作。若需更换人员的，必须提前10个工作日书面报采购人批准后方可更换。原则上不允许中途更换项目组成员。</w:t>
      </w:r>
    </w:p>
    <w:p>
      <w:pPr>
        <w:snapToGrid w:val="0"/>
        <w:spacing w:line="360" w:lineRule="auto"/>
        <w:rPr>
          <w:rFonts w:ascii="宋体" w:hAnsi="宋体"/>
          <w:b/>
          <w:sz w:val="24"/>
        </w:rPr>
      </w:pPr>
      <w:r>
        <w:rPr>
          <w:rFonts w:ascii="宋体" w:hAnsi="宋体"/>
          <w:b/>
          <w:sz w:val="24"/>
        </w:rPr>
        <w:t>三、甲方的协作事项：</w:t>
      </w:r>
    </w:p>
    <w:p>
      <w:pPr>
        <w:snapToGrid w:val="0"/>
        <w:spacing w:line="360" w:lineRule="auto"/>
        <w:rPr>
          <w:rFonts w:ascii="宋体" w:hAnsi="宋体"/>
          <w:sz w:val="24"/>
        </w:rPr>
      </w:pPr>
      <w:r>
        <w:rPr>
          <w:rFonts w:ascii="宋体" w:hAnsi="宋体"/>
          <w:sz w:val="24"/>
        </w:rPr>
        <w:t xml:space="preserve">     1、甲方为乙方提供驻场场所；</w:t>
      </w:r>
    </w:p>
    <w:p>
      <w:pPr>
        <w:spacing w:line="360" w:lineRule="auto"/>
        <w:rPr>
          <w:rFonts w:ascii="宋体" w:hAnsi="宋体"/>
          <w:sz w:val="24"/>
        </w:rPr>
      </w:pPr>
      <w:r>
        <w:rPr>
          <w:rFonts w:ascii="宋体" w:hAnsi="宋体"/>
          <w:sz w:val="24"/>
        </w:rPr>
        <w:t xml:space="preserve">     2、甲方为乙方提供项目执行内容所需的基础资料。</w:t>
      </w:r>
    </w:p>
    <w:p>
      <w:pPr>
        <w:snapToGrid w:val="0"/>
        <w:spacing w:line="360" w:lineRule="auto"/>
        <w:rPr>
          <w:rFonts w:ascii="宋体" w:hAnsi="宋体"/>
          <w:b/>
          <w:sz w:val="24"/>
        </w:rPr>
      </w:pPr>
      <w:r>
        <w:rPr>
          <w:rFonts w:ascii="宋体" w:hAnsi="宋体"/>
          <w:b/>
          <w:sz w:val="24"/>
        </w:rPr>
        <w:t>四、技术情报和资料的保密：</w:t>
      </w:r>
    </w:p>
    <w:p>
      <w:pPr>
        <w:snapToGrid w:val="0"/>
        <w:spacing w:line="360" w:lineRule="auto"/>
        <w:rPr>
          <w:rFonts w:ascii="宋体" w:hAnsi="宋体"/>
          <w:sz w:val="24"/>
        </w:rPr>
      </w:pPr>
      <w:r>
        <w:rPr>
          <w:rFonts w:ascii="宋体" w:hAnsi="宋体"/>
          <w:sz w:val="24"/>
        </w:rPr>
        <w:t xml:space="preserve">    1、乙方始终对本项目有关资料保密，不在项目之外使用甲方提供的信息及掌握的项目信息；</w:t>
      </w:r>
    </w:p>
    <w:p>
      <w:pPr>
        <w:snapToGrid w:val="0"/>
        <w:spacing w:line="360" w:lineRule="auto"/>
        <w:rPr>
          <w:rFonts w:ascii="宋体" w:hAnsi="宋体"/>
          <w:sz w:val="24"/>
        </w:rPr>
      </w:pPr>
      <w:r>
        <w:rPr>
          <w:rFonts w:ascii="宋体" w:hAnsi="宋体"/>
          <w:sz w:val="24"/>
        </w:rPr>
        <w:t xml:space="preserve">    2、未经甲方书面同意，乙方不得向任何第三方提供保密信息以及可以接触上述保密信息的手段，包括但不限于在公开场合展览，公开对外宣传，作为文章、信息、参考数据发表；</w:t>
      </w:r>
    </w:p>
    <w:p>
      <w:pPr>
        <w:snapToGrid w:val="0"/>
        <w:spacing w:line="360" w:lineRule="auto"/>
        <w:rPr>
          <w:rFonts w:ascii="宋体" w:hAnsi="宋体"/>
          <w:b/>
          <w:sz w:val="24"/>
        </w:rPr>
      </w:pPr>
      <w:r>
        <w:rPr>
          <w:rFonts w:ascii="宋体" w:hAnsi="宋体"/>
          <w:b/>
          <w:sz w:val="24"/>
        </w:rPr>
        <w:t>五、验收、评价方法：</w:t>
      </w:r>
    </w:p>
    <w:p>
      <w:pPr>
        <w:snapToGrid w:val="0"/>
        <w:spacing w:line="360" w:lineRule="auto"/>
        <w:rPr>
          <w:rFonts w:ascii="宋体" w:hAnsi="宋体"/>
          <w:sz w:val="24"/>
        </w:rPr>
      </w:pPr>
      <w:r>
        <w:rPr>
          <w:rFonts w:ascii="宋体" w:hAnsi="宋体"/>
          <w:sz w:val="24"/>
        </w:rPr>
        <w:t xml:space="preserve">    咨询</w:t>
      </w:r>
      <w:r>
        <w:rPr>
          <w:rFonts w:hint="eastAsia" w:ascii="宋体" w:hAnsi="宋体"/>
          <w:sz w:val="24"/>
        </w:rPr>
        <w:t>成果</w:t>
      </w:r>
      <w:r>
        <w:rPr>
          <w:rFonts w:ascii="宋体" w:hAnsi="宋体"/>
          <w:sz w:val="24"/>
        </w:rPr>
        <w:t>达到了本合同第一条所列要求，由甲方有关</w:t>
      </w:r>
      <w:r>
        <w:rPr>
          <w:rFonts w:hint="eastAsia" w:ascii="宋体" w:hAnsi="宋体"/>
          <w:sz w:val="24"/>
        </w:rPr>
        <w:t>管理和</w:t>
      </w:r>
      <w:r>
        <w:rPr>
          <w:rFonts w:ascii="宋体" w:hAnsi="宋体"/>
          <w:sz w:val="24"/>
        </w:rPr>
        <w:t>技术人员采用，按照本采购文件规定的验收方式验收，并起草验收意见，由双方签字或盖章。</w:t>
      </w:r>
    </w:p>
    <w:p>
      <w:pPr>
        <w:snapToGrid w:val="0"/>
        <w:spacing w:line="360" w:lineRule="auto"/>
        <w:ind w:firstLine="480" w:firstLineChars="200"/>
        <w:rPr>
          <w:rFonts w:ascii="宋体" w:hAnsi="宋体"/>
          <w:sz w:val="24"/>
        </w:rPr>
      </w:pPr>
      <w:r>
        <w:rPr>
          <w:rFonts w:ascii="宋体" w:hAnsi="宋体"/>
          <w:sz w:val="24"/>
        </w:rPr>
        <w:t>评价方法：由甲方组织项目验收评审对项目成果进行评价。</w:t>
      </w:r>
    </w:p>
    <w:p>
      <w:pPr>
        <w:snapToGrid w:val="0"/>
        <w:spacing w:line="360" w:lineRule="auto"/>
        <w:rPr>
          <w:rFonts w:ascii="宋体" w:hAnsi="宋体"/>
          <w:b/>
          <w:sz w:val="24"/>
        </w:rPr>
      </w:pPr>
      <w:r>
        <w:rPr>
          <w:rFonts w:ascii="宋体" w:hAnsi="宋体"/>
          <w:b/>
          <w:sz w:val="24"/>
        </w:rPr>
        <w:t>六、报酬及其支付方式：</w:t>
      </w:r>
    </w:p>
    <w:p>
      <w:pPr>
        <w:snapToGrid w:val="0"/>
        <w:spacing w:line="360" w:lineRule="auto"/>
        <w:ind w:firstLine="480" w:firstLineChars="200"/>
        <w:rPr>
          <w:rFonts w:ascii="宋体" w:hAnsi="宋体"/>
          <w:sz w:val="24"/>
        </w:rPr>
      </w:pPr>
      <w:r>
        <w:rPr>
          <w:rFonts w:ascii="宋体" w:hAnsi="宋体"/>
          <w:sz w:val="24"/>
        </w:rPr>
        <w:t>（一）本项目报酬（咨询费）：￥</w:t>
      </w:r>
      <w:r>
        <w:rPr>
          <w:rFonts w:ascii="宋体" w:hAnsi="宋体"/>
          <w:sz w:val="24"/>
          <w:u w:val="single"/>
        </w:rPr>
        <w:t xml:space="preserve">       </w:t>
      </w:r>
      <w:r>
        <w:rPr>
          <w:rFonts w:ascii="宋体" w:hAnsi="宋体"/>
          <w:sz w:val="24"/>
        </w:rPr>
        <w:t>元(人民币：      )该费用为含税金额，甲方无需支付乙方其他任何费用。</w:t>
      </w:r>
    </w:p>
    <w:p>
      <w:pPr>
        <w:snapToGrid w:val="0"/>
        <w:spacing w:line="360" w:lineRule="auto"/>
        <w:rPr>
          <w:rFonts w:ascii="宋体" w:hAnsi="宋体"/>
          <w:sz w:val="24"/>
        </w:rPr>
      </w:pPr>
      <w:r>
        <w:rPr>
          <w:rFonts w:ascii="宋体" w:hAnsi="宋体"/>
          <w:sz w:val="24"/>
        </w:rPr>
        <w:t xml:space="preserve">    （二）支付方式及期限：</w:t>
      </w:r>
    </w:p>
    <w:p>
      <w:pPr>
        <w:snapToGrid w:val="0"/>
        <w:spacing w:line="360" w:lineRule="auto"/>
        <w:ind w:firstLine="480" w:firstLineChars="200"/>
        <w:rPr>
          <w:rFonts w:ascii="宋体" w:hAnsi="宋体"/>
          <w:sz w:val="24"/>
        </w:rPr>
      </w:pPr>
      <w:r>
        <w:rPr>
          <w:rFonts w:ascii="宋体" w:hAnsi="宋体"/>
          <w:sz w:val="24"/>
        </w:rPr>
        <w:t>1、本合同签订后并收到乙方开具的等额发票后</w:t>
      </w:r>
      <w:r>
        <w:rPr>
          <w:rFonts w:ascii="宋体" w:hAnsi="宋体"/>
          <w:sz w:val="24"/>
          <w:u w:val="single"/>
        </w:rPr>
        <w:t>15</w:t>
      </w:r>
      <w:r>
        <w:rPr>
          <w:rFonts w:ascii="宋体" w:hAnsi="宋体"/>
          <w:sz w:val="24"/>
        </w:rPr>
        <w:t>个工作日内，支付合同总金额的</w:t>
      </w:r>
      <w:r>
        <w:rPr>
          <w:rFonts w:ascii="宋体" w:hAnsi="宋体"/>
          <w:sz w:val="24"/>
          <w:u w:val="single"/>
        </w:rPr>
        <w:t>50%</w:t>
      </w:r>
      <w:r>
        <w:rPr>
          <w:rFonts w:ascii="宋体" w:hAnsi="宋体"/>
          <w:sz w:val="24"/>
        </w:rPr>
        <w:t>,即￥</w:t>
      </w:r>
      <w:r>
        <w:rPr>
          <w:rFonts w:ascii="宋体" w:hAnsi="宋体"/>
          <w:sz w:val="24"/>
          <w:u w:val="single"/>
        </w:rPr>
        <w:t xml:space="preserve">       </w:t>
      </w:r>
      <w:r>
        <w:rPr>
          <w:rFonts w:ascii="宋体" w:hAnsi="宋体"/>
          <w:sz w:val="24"/>
        </w:rPr>
        <w:t xml:space="preserve">元(人民币：      )；  </w:t>
      </w:r>
    </w:p>
    <w:p>
      <w:pPr>
        <w:snapToGrid w:val="0"/>
        <w:spacing w:line="360" w:lineRule="auto"/>
        <w:ind w:firstLine="480" w:firstLineChars="200"/>
        <w:rPr>
          <w:rFonts w:ascii="宋体" w:hAnsi="宋体"/>
          <w:sz w:val="24"/>
        </w:rPr>
      </w:pPr>
      <w:r>
        <w:rPr>
          <w:rFonts w:ascii="宋体" w:hAnsi="宋体"/>
          <w:sz w:val="24"/>
        </w:rPr>
        <w:t>2、完成项目验收并收到乙方开具的等额发票后</w:t>
      </w:r>
      <w:r>
        <w:rPr>
          <w:rFonts w:ascii="宋体" w:hAnsi="宋体"/>
          <w:sz w:val="24"/>
          <w:u w:val="single"/>
        </w:rPr>
        <w:t>15</w:t>
      </w:r>
      <w:r>
        <w:rPr>
          <w:rFonts w:ascii="宋体" w:hAnsi="宋体"/>
          <w:sz w:val="24"/>
        </w:rPr>
        <w:t>个工作日内由甲方支付合同总金额的</w:t>
      </w:r>
      <w:r>
        <w:rPr>
          <w:rFonts w:ascii="宋体" w:hAnsi="宋体"/>
          <w:sz w:val="24"/>
          <w:u w:val="single"/>
        </w:rPr>
        <w:t>50%</w:t>
      </w:r>
      <w:r>
        <w:rPr>
          <w:rFonts w:ascii="宋体" w:hAnsi="宋体"/>
          <w:sz w:val="24"/>
        </w:rPr>
        <w:t>,即￥</w:t>
      </w:r>
      <w:r>
        <w:rPr>
          <w:rFonts w:ascii="宋体" w:hAnsi="宋体"/>
          <w:sz w:val="24"/>
          <w:u w:val="single"/>
        </w:rPr>
        <w:t xml:space="preserve">       </w:t>
      </w:r>
      <w:r>
        <w:rPr>
          <w:rFonts w:ascii="宋体" w:hAnsi="宋体"/>
          <w:sz w:val="24"/>
        </w:rPr>
        <w:t>元(人民币：      )。</w:t>
      </w:r>
    </w:p>
    <w:p>
      <w:pPr>
        <w:snapToGrid w:val="0"/>
        <w:spacing w:line="360" w:lineRule="auto"/>
        <w:ind w:firstLine="482" w:firstLineChars="200"/>
        <w:rPr>
          <w:rFonts w:ascii="宋体" w:hAnsi="宋体"/>
          <w:sz w:val="24"/>
        </w:rPr>
      </w:pPr>
      <w:r>
        <w:rPr>
          <w:rFonts w:ascii="宋体" w:hAnsi="宋体"/>
          <w:b/>
          <w:sz w:val="24"/>
        </w:rPr>
        <w:t>说明：</w:t>
      </w:r>
    </w:p>
    <w:p>
      <w:pPr>
        <w:snapToGrid w:val="0"/>
        <w:spacing w:line="360" w:lineRule="auto"/>
        <w:ind w:firstLine="518" w:firstLineChars="216"/>
        <w:rPr>
          <w:rFonts w:ascii="宋体" w:hAnsi="宋体"/>
          <w:sz w:val="24"/>
        </w:rPr>
      </w:pPr>
      <w:r>
        <w:rPr>
          <w:rFonts w:ascii="宋体" w:hAnsi="宋体"/>
          <w:sz w:val="24"/>
        </w:rPr>
        <w:t>①项目所涉及经费为广州市</w:t>
      </w:r>
      <w:r>
        <w:rPr>
          <w:rFonts w:hint="eastAsia" w:ascii="宋体" w:hAnsi="宋体"/>
          <w:sz w:val="24"/>
        </w:rPr>
        <w:t>政府</w:t>
      </w:r>
      <w:r>
        <w:rPr>
          <w:rFonts w:ascii="宋体" w:hAnsi="宋体"/>
          <w:sz w:val="24"/>
        </w:rPr>
        <w:t>财政</w:t>
      </w:r>
      <w:r>
        <w:rPr>
          <w:rFonts w:hint="eastAsia" w:ascii="宋体" w:hAnsi="宋体"/>
          <w:sz w:val="24"/>
        </w:rPr>
        <w:t>预算</w:t>
      </w:r>
      <w:r>
        <w:rPr>
          <w:rFonts w:ascii="宋体" w:hAnsi="宋体"/>
          <w:sz w:val="24"/>
        </w:rPr>
        <w:t>，</w:t>
      </w:r>
      <w:r>
        <w:rPr>
          <w:rFonts w:hint="eastAsia" w:ascii="宋体" w:hAnsi="宋体"/>
          <w:sz w:val="24"/>
        </w:rPr>
        <w:t>本合同款支付需在甲方收到市财政核拨本项目经费后才能实施，乙方不得以此提出延期付款索赔要求</w:t>
      </w:r>
      <w:r>
        <w:rPr>
          <w:rFonts w:ascii="宋体" w:hAnsi="宋体"/>
          <w:sz w:val="24"/>
        </w:rPr>
        <w:t>。如当年广州市财政投资安排经费不足以支付当期全额应付款时，采购人应先告知乙方当期可支付金额，在乙方提供可支付金额发票后支付等额费用予乙方，差额部分甲方应在下一年度予以足额支付</w:t>
      </w:r>
      <w:r>
        <w:rPr>
          <w:rFonts w:hint="eastAsia" w:ascii="宋体" w:hAnsi="宋体"/>
          <w:sz w:val="24"/>
        </w:rPr>
        <w:t>（无息）</w:t>
      </w:r>
      <w:r>
        <w:rPr>
          <w:rFonts w:ascii="宋体" w:hAnsi="宋体"/>
          <w:sz w:val="24"/>
        </w:rPr>
        <w:t>，乙方不得以此提出延期付款索赔要求。</w:t>
      </w:r>
    </w:p>
    <w:p>
      <w:pPr>
        <w:snapToGrid w:val="0"/>
        <w:spacing w:line="360" w:lineRule="auto"/>
        <w:ind w:firstLine="518" w:firstLineChars="216"/>
        <w:rPr>
          <w:rFonts w:ascii="宋体" w:hAnsi="宋体"/>
          <w:sz w:val="24"/>
        </w:rPr>
      </w:pPr>
      <w:r>
        <w:rPr>
          <w:rFonts w:ascii="宋体" w:hAnsi="宋体"/>
          <w:sz w:val="24"/>
        </w:rPr>
        <w:t>②乙方须在甲方每次办理付款手续前10个工作日内，向甲方提供当次应收款项等额的合法发票。</w:t>
      </w:r>
    </w:p>
    <w:p>
      <w:pPr>
        <w:snapToGrid w:val="0"/>
        <w:spacing w:line="360" w:lineRule="auto"/>
        <w:ind w:firstLine="518" w:firstLineChars="216"/>
        <w:rPr>
          <w:rFonts w:ascii="宋体" w:hAnsi="宋体"/>
          <w:sz w:val="24"/>
        </w:rPr>
      </w:pPr>
      <w:r>
        <w:rPr>
          <w:rFonts w:ascii="宋体" w:hAnsi="宋体"/>
          <w:sz w:val="24"/>
        </w:rPr>
        <w:t>3．乙方银行账户信息</w:t>
      </w:r>
    </w:p>
    <w:p>
      <w:pPr>
        <w:spacing w:line="360" w:lineRule="auto"/>
        <w:ind w:firstLine="518" w:firstLineChars="216"/>
        <w:rPr>
          <w:rFonts w:ascii="宋体" w:hAnsi="宋体"/>
          <w:sz w:val="24"/>
        </w:rPr>
      </w:pPr>
      <w:r>
        <w:rPr>
          <w:rFonts w:ascii="宋体" w:hAnsi="宋体"/>
          <w:sz w:val="24"/>
        </w:rPr>
        <w:t>开户银行名称：</w:t>
      </w:r>
      <w:r>
        <w:rPr>
          <w:rFonts w:ascii="宋体" w:hAnsi="宋体"/>
          <w:sz w:val="24"/>
          <w:u w:val="single"/>
        </w:rPr>
        <w:t xml:space="preserve">                              </w:t>
      </w:r>
      <w:r>
        <w:rPr>
          <w:rFonts w:ascii="宋体" w:hAnsi="宋体"/>
          <w:sz w:val="24"/>
        </w:rPr>
        <w:t xml:space="preserve">                              </w:t>
      </w:r>
    </w:p>
    <w:p>
      <w:pPr>
        <w:spacing w:line="360" w:lineRule="auto"/>
        <w:ind w:firstLine="518" w:firstLineChars="216"/>
        <w:rPr>
          <w:rFonts w:ascii="宋体" w:hAnsi="宋体"/>
          <w:sz w:val="24"/>
        </w:rPr>
      </w:pPr>
      <w:r>
        <w:rPr>
          <w:rFonts w:ascii="宋体" w:hAnsi="宋体"/>
          <w:sz w:val="24"/>
        </w:rPr>
        <w:t>户        名：</w:t>
      </w:r>
      <w:r>
        <w:rPr>
          <w:rFonts w:ascii="宋体" w:hAnsi="宋体"/>
          <w:sz w:val="24"/>
          <w:u w:val="single"/>
        </w:rPr>
        <w:t xml:space="preserve">                              </w:t>
      </w:r>
      <w:r>
        <w:rPr>
          <w:rFonts w:ascii="宋体" w:hAnsi="宋体"/>
          <w:sz w:val="24"/>
        </w:rPr>
        <w:t xml:space="preserve">                                                                                                                        </w:t>
      </w:r>
    </w:p>
    <w:p>
      <w:pPr>
        <w:spacing w:line="360" w:lineRule="auto"/>
        <w:ind w:firstLine="518" w:firstLineChars="216"/>
        <w:rPr>
          <w:rFonts w:ascii="宋体" w:hAnsi="宋体"/>
          <w:sz w:val="24"/>
        </w:rPr>
      </w:pPr>
      <w:r>
        <w:rPr>
          <w:rFonts w:ascii="宋体" w:hAnsi="宋体"/>
          <w:sz w:val="24"/>
        </w:rPr>
        <w:t>开户银行账号：</w:t>
      </w:r>
      <w:r>
        <w:rPr>
          <w:rFonts w:ascii="宋体" w:hAnsi="宋体"/>
          <w:sz w:val="24"/>
          <w:u w:val="single"/>
        </w:rPr>
        <w:t xml:space="preserve">                              </w:t>
      </w:r>
      <w:r>
        <w:rPr>
          <w:rFonts w:ascii="宋体" w:hAnsi="宋体"/>
          <w:sz w:val="24"/>
        </w:rPr>
        <w:t xml:space="preserve">                                   </w:t>
      </w:r>
    </w:p>
    <w:p>
      <w:pPr>
        <w:snapToGrid w:val="0"/>
        <w:spacing w:line="360" w:lineRule="auto"/>
        <w:rPr>
          <w:rFonts w:ascii="宋体" w:hAnsi="宋体"/>
          <w:b/>
          <w:sz w:val="24"/>
        </w:rPr>
      </w:pPr>
      <w:r>
        <w:rPr>
          <w:rFonts w:ascii="宋体" w:hAnsi="宋体"/>
          <w:b/>
          <w:sz w:val="24"/>
        </w:rPr>
        <w:t>七、违约责任：</w:t>
      </w:r>
    </w:p>
    <w:p>
      <w:pPr>
        <w:snapToGrid w:val="0"/>
        <w:spacing w:line="360" w:lineRule="auto"/>
        <w:rPr>
          <w:rFonts w:ascii="宋体" w:hAnsi="宋体"/>
          <w:sz w:val="24"/>
        </w:rPr>
      </w:pPr>
      <w:r>
        <w:rPr>
          <w:rFonts w:ascii="宋体" w:hAnsi="宋体"/>
          <w:sz w:val="24"/>
        </w:rPr>
        <w:t xml:space="preserve">    违反本合同约定，违约方应按下列方式承担违约责任。</w:t>
      </w:r>
    </w:p>
    <w:p>
      <w:pPr>
        <w:snapToGrid w:val="0"/>
        <w:spacing w:line="360" w:lineRule="auto"/>
        <w:rPr>
          <w:rFonts w:ascii="宋体" w:hAnsi="宋体"/>
          <w:sz w:val="24"/>
        </w:rPr>
      </w:pPr>
      <w:r>
        <w:rPr>
          <w:rFonts w:ascii="宋体" w:hAnsi="宋体"/>
          <w:sz w:val="24"/>
        </w:rPr>
        <w:t xml:space="preserve">    （一）违反本合同第六条第（二）项约定，甲方不按期支付咨询费的，应当支付给乙方合同金额</w:t>
      </w:r>
      <w:r>
        <w:rPr>
          <w:rFonts w:ascii="宋体" w:hAnsi="宋体"/>
          <w:sz w:val="24"/>
          <w:u w:val="single"/>
        </w:rPr>
        <w:t>10%</w:t>
      </w:r>
      <w:r>
        <w:rPr>
          <w:rFonts w:ascii="宋体" w:hAnsi="宋体"/>
          <w:sz w:val="24"/>
        </w:rPr>
        <w:t>的违约金。在甲方尚未支付第一期咨询费前，乙方工期顺延。</w:t>
      </w:r>
    </w:p>
    <w:p>
      <w:pPr>
        <w:snapToGrid w:val="0"/>
        <w:spacing w:line="360" w:lineRule="auto"/>
        <w:ind w:firstLine="480"/>
        <w:rPr>
          <w:rFonts w:ascii="宋体" w:hAnsi="宋体"/>
          <w:sz w:val="24"/>
        </w:rPr>
      </w:pPr>
      <w:r>
        <w:rPr>
          <w:rFonts w:ascii="宋体" w:hAnsi="宋体"/>
          <w:sz w:val="24"/>
        </w:rPr>
        <w:t>（二）乙方违反本合同第一条约定的，甲方有权解除合同，并要求乙方返还已支付的咨询费用。因此造成其他损失的，甲方有权要求乙方进行赔偿；</w:t>
      </w:r>
    </w:p>
    <w:p>
      <w:pPr>
        <w:snapToGrid w:val="0"/>
        <w:spacing w:line="360" w:lineRule="auto"/>
        <w:ind w:firstLine="480"/>
        <w:rPr>
          <w:rFonts w:ascii="宋体" w:hAnsi="宋体"/>
          <w:sz w:val="24"/>
        </w:rPr>
      </w:pPr>
      <w:r>
        <w:rPr>
          <w:rFonts w:ascii="宋体" w:hAnsi="宋体"/>
          <w:sz w:val="24"/>
        </w:rPr>
        <w:t>乙方违反本合同第二条第一款约定逾期交付工作成果的，应当支付给甲方合同金额</w:t>
      </w:r>
      <w:r>
        <w:rPr>
          <w:rFonts w:ascii="宋体" w:hAnsi="宋体"/>
          <w:sz w:val="24"/>
          <w:u w:val="single"/>
        </w:rPr>
        <w:t>10%</w:t>
      </w:r>
      <w:r>
        <w:rPr>
          <w:rFonts w:ascii="宋体" w:hAnsi="宋体"/>
          <w:sz w:val="24"/>
        </w:rPr>
        <w:t>的违约金，且甲方有权不支付应付未付的咨询费用。乙方逾期交付工作成果超过</w:t>
      </w:r>
      <w:r>
        <w:rPr>
          <w:rFonts w:ascii="宋体" w:hAnsi="宋体"/>
          <w:sz w:val="24"/>
          <w:u w:val="single"/>
        </w:rPr>
        <w:t>30</w:t>
      </w:r>
      <w:r>
        <w:rPr>
          <w:rFonts w:ascii="宋体" w:hAnsi="宋体"/>
          <w:sz w:val="24"/>
        </w:rPr>
        <w:t xml:space="preserve">天的，甲方有权解除合同，并要求乙方返还已支付的咨询费用。因此造成其他损失的，甲方有权要求乙方进行赔偿； </w:t>
      </w:r>
    </w:p>
    <w:p>
      <w:pPr>
        <w:snapToGrid w:val="0"/>
        <w:spacing w:line="360" w:lineRule="auto"/>
        <w:ind w:firstLine="480"/>
        <w:rPr>
          <w:rFonts w:ascii="宋体" w:hAnsi="宋体"/>
          <w:sz w:val="24"/>
        </w:rPr>
      </w:pPr>
      <w:r>
        <w:rPr>
          <w:rFonts w:ascii="宋体" w:hAnsi="宋体"/>
          <w:sz w:val="24"/>
        </w:rPr>
        <w:t>乙方违反本合同第四条约定的，甲方有权解除合同，并要求乙方返还已支付的咨询费用。因此造成其他损失的，甲方有权要求乙方进行赔偿；</w:t>
      </w:r>
    </w:p>
    <w:p>
      <w:pPr>
        <w:snapToGrid w:val="0"/>
        <w:spacing w:line="360" w:lineRule="auto"/>
        <w:ind w:firstLine="480" w:firstLineChars="200"/>
        <w:rPr>
          <w:rFonts w:ascii="宋体" w:hAnsi="宋体"/>
          <w:sz w:val="24"/>
        </w:rPr>
      </w:pPr>
      <w:r>
        <w:rPr>
          <w:rFonts w:ascii="宋体" w:hAnsi="宋体"/>
          <w:sz w:val="24"/>
        </w:rPr>
        <w:t>（三）因不可抗力造成双方或一方不能履行合同，该方应及时书面通知对方。因不可抗力造成的损失由双方合理承担。</w:t>
      </w:r>
    </w:p>
    <w:p>
      <w:pPr>
        <w:snapToGrid w:val="0"/>
        <w:spacing w:line="360" w:lineRule="auto"/>
        <w:rPr>
          <w:rFonts w:ascii="宋体" w:hAnsi="宋体"/>
          <w:b/>
          <w:sz w:val="24"/>
        </w:rPr>
      </w:pPr>
      <w:r>
        <w:rPr>
          <w:rFonts w:ascii="宋体" w:hAnsi="宋体"/>
          <w:b/>
          <w:sz w:val="24"/>
        </w:rPr>
        <w:t>八、争议的解决方法：</w:t>
      </w:r>
    </w:p>
    <w:p>
      <w:pPr>
        <w:snapToGrid w:val="0"/>
        <w:spacing w:line="360" w:lineRule="auto"/>
        <w:rPr>
          <w:rFonts w:ascii="宋体" w:hAnsi="宋体"/>
          <w:sz w:val="24"/>
        </w:rPr>
      </w:pPr>
      <w:r>
        <w:rPr>
          <w:rFonts w:ascii="宋体" w:hAnsi="宋体"/>
          <w:sz w:val="24"/>
        </w:rPr>
        <w:t xml:space="preserve">    在本合同履行过程中发生争议，双方应当协商解决，也可以请求双方的上级主管部门进行调解。</w:t>
      </w:r>
    </w:p>
    <w:p>
      <w:pPr>
        <w:snapToGrid w:val="0"/>
        <w:spacing w:line="360" w:lineRule="auto"/>
        <w:rPr>
          <w:rFonts w:ascii="宋体" w:hAnsi="宋体"/>
          <w:sz w:val="24"/>
        </w:rPr>
      </w:pPr>
      <w:r>
        <w:rPr>
          <w:rFonts w:ascii="宋体" w:hAnsi="宋体"/>
          <w:sz w:val="24"/>
        </w:rPr>
        <w:t xml:space="preserve">    双方不愿协商、调解解决或者协商、调解不成的，双方商定，申请向中国广州仲裁委员会提起仲裁。</w:t>
      </w:r>
    </w:p>
    <w:p>
      <w:pPr>
        <w:snapToGrid w:val="0"/>
        <w:spacing w:line="360" w:lineRule="auto"/>
        <w:rPr>
          <w:rFonts w:ascii="宋体" w:hAnsi="宋体"/>
          <w:b/>
          <w:sz w:val="24"/>
        </w:rPr>
      </w:pPr>
      <w:r>
        <w:rPr>
          <w:rFonts w:ascii="宋体" w:hAnsi="宋体"/>
          <w:b/>
          <w:sz w:val="24"/>
        </w:rPr>
        <w:t>九、其他：</w:t>
      </w:r>
    </w:p>
    <w:p>
      <w:pPr>
        <w:snapToGrid w:val="0"/>
        <w:spacing w:line="360" w:lineRule="auto"/>
        <w:ind w:firstLine="480" w:firstLineChars="200"/>
        <w:rPr>
          <w:rFonts w:ascii="宋体" w:hAnsi="宋体"/>
          <w:sz w:val="24"/>
        </w:rPr>
      </w:pPr>
      <w:r>
        <w:rPr>
          <w:rFonts w:ascii="宋体" w:hAnsi="宋体"/>
          <w:sz w:val="24"/>
        </w:rPr>
        <w:t>本合同一式</w:t>
      </w:r>
      <w:r>
        <w:rPr>
          <w:rFonts w:ascii="宋体" w:hAnsi="宋体"/>
          <w:b/>
          <w:sz w:val="24"/>
          <w:u w:val="single"/>
        </w:rPr>
        <w:t>四</w:t>
      </w:r>
      <w:r>
        <w:rPr>
          <w:rFonts w:ascii="宋体" w:hAnsi="宋体"/>
          <w:sz w:val="24"/>
        </w:rPr>
        <w:t>份，甲乙双方各执</w:t>
      </w:r>
      <w:r>
        <w:rPr>
          <w:rFonts w:ascii="宋体" w:hAnsi="宋体"/>
          <w:b/>
          <w:sz w:val="24"/>
          <w:u w:val="single"/>
        </w:rPr>
        <w:t>两</w:t>
      </w:r>
      <w:r>
        <w:rPr>
          <w:rFonts w:ascii="宋体" w:hAnsi="宋体"/>
          <w:sz w:val="24"/>
        </w:rPr>
        <w:t>份。合同自双方签字盖章之日起生效。</w:t>
      </w:r>
    </w:p>
    <w:p>
      <w:pPr>
        <w:spacing w:line="360" w:lineRule="auto"/>
        <w:rPr>
          <w:rFonts w:ascii="宋体" w:hAnsi="宋体"/>
          <w:sz w:val="24"/>
        </w:rPr>
      </w:pPr>
      <w:r>
        <w:rPr>
          <w:rFonts w:ascii="宋体" w:hAnsi="宋体"/>
          <w:sz w:val="24"/>
        </w:rPr>
        <w:t>（以下无正文）</w:t>
      </w:r>
    </w:p>
    <w:p>
      <w:pPr>
        <w:rPr>
          <w:rFonts w:ascii="宋体" w:hAnsi="宋体"/>
          <w:sz w:val="24"/>
        </w:rPr>
      </w:pPr>
    </w:p>
    <w:tbl>
      <w:tblPr>
        <w:tblStyle w:val="27"/>
        <w:tblW w:w="8523" w:type="dxa"/>
        <w:tblInd w:w="0" w:type="dxa"/>
        <w:tblLayout w:type="fixed"/>
        <w:tblCellMar>
          <w:top w:w="0" w:type="dxa"/>
          <w:left w:w="108" w:type="dxa"/>
          <w:bottom w:w="0" w:type="dxa"/>
          <w:right w:w="108" w:type="dxa"/>
        </w:tblCellMar>
      </w:tblPr>
      <w:tblGrid>
        <w:gridCol w:w="4261"/>
        <w:gridCol w:w="4262"/>
      </w:tblGrid>
      <w:tr>
        <w:tblPrEx>
          <w:tblCellMar>
            <w:top w:w="0" w:type="dxa"/>
            <w:left w:w="108" w:type="dxa"/>
            <w:bottom w:w="0" w:type="dxa"/>
            <w:right w:w="108" w:type="dxa"/>
          </w:tblCellMar>
        </w:tblPrEx>
        <w:trPr>
          <w:trHeight w:val="3258" w:hRule="atLeast"/>
        </w:trPr>
        <w:tc>
          <w:tcPr>
            <w:tcW w:w="4261" w:type="dxa"/>
          </w:tcPr>
          <w:p>
            <w:pPr>
              <w:pStyle w:val="23"/>
              <w:spacing w:afterAutospacing="0" w:line="360" w:lineRule="auto"/>
              <w:rPr>
                <w:rFonts w:ascii="宋体" w:hAnsi="宋体"/>
              </w:rPr>
            </w:pPr>
          </w:p>
          <w:p>
            <w:pPr>
              <w:pStyle w:val="23"/>
              <w:spacing w:afterAutospacing="0" w:line="360" w:lineRule="auto"/>
              <w:rPr>
                <w:rFonts w:ascii="宋体" w:hAnsi="宋体"/>
                <w:b/>
                <w:u w:val="single"/>
              </w:rPr>
            </w:pPr>
            <w:r>
              <w:rPr>
                <w:rFonts w:hint="eastAsia" w:ascii="宋体" w:hAnsi="宋体"/>
              </w:rPr>
              <w:t>甲方：</w:t>
            </w:r>
            <w:r>
              <w:rPr>
                <w:rFonts w:hint="eastAsia" w:ascii="宋体" w:hAnsi="宋体"/>
                <w:bCs/>
                <w:u w:val="single"/>
              </w:rPr>
              <w:t>广州市政务服务数据管理局</w:t>
            </w:r>
          </w:p>
          <w:p>
            <w:pPr>
              <w:spacing w:before="156" w:line="360" w:lineRule="auto"/>
              <w:rPr>
                <w:rFonts w:ascii="宋体" w:hAnsi="宋体"/>
                <w:sz w:val="24"/>
              </w:rPr>
            </w:pPr>
            <w:r>
              <w:rPr>
                <w:rFonts w:ascii="宋体" w:hAnsi="宋体"/>
                <w:sz w:val="24"/>
              </w:rPr>
              <w:t xml:space="preserve">（签章） </w:t>
            </w:r>
          </w:p>
          <w:p>
            <w:pPr>
              <w:spacing w:before="156" w:line="360" w:lineRule="auto"/>
              <w:rPr>
                <w:rFonts w:ascii="宋体" w:hAnsi="宋体"/>
                <w:sz w:val="24"/>
              </w:rPr>
            </w:pPr>
            <w:r>
              <w:rPr>
                <w:rFonts w:ascii="宋体" w:hAnsi="宋体"/>
                <w:sz w:val="24"/>
              </w:rPr>
              <w:t xml:space="preserve">授权代表签字：                                                </w:t>
            </w:r>
          </w:p>
          <w:p>
            <w:pPr>
              <w:pStyle w:val="23"/>
              <w:spacing w:afterAutospacing="0" w:line="360" w:lineRule="auto"/>
              <w:rPr>
                <w:rFonts w:ascii="宋体" w:hAnsi="宋体"/>
              </w:rPr>
            </w:pPr>
            <w:r>
              <w:rPr>
                <w:rFonts w:hint="eastAsia" w:ascii="宋体" w:hAnsi="宋体"/>
              </w:rPr>
              <w:t>日期：</w:t>
            </w:r>
            <w:r>
              <w:rPr>
                <w:rFonts w:ascii="宋体" w:hAnsi="宋体"/>
              </w:rPr>
              <w:t xml:space="preserve">    </w:t>
            </w:r>
          </w:p>
          <w:p>
            <w:pPr>
              <w:pStyle w:val="23"/>
              <w:spacing w:afterAutospacing="0" w:line="360" w:lineRule="auto"/>
              <w:rPr>
                <w:rFonts w:ascii="宋体" w:hAnsi="宋体"/>
              </w:rPr>
            </w:pPr>
            <w:r>
              <w:rPr>
                <w:rFonts w:hint="eastAsia" w:ascii="宋体" w:hAnsi="宋体"/>
              </w:rPr>
              <w:t>联系人：</w:t>
            </w:r>
          </w:p>
          <w:p>
            <w:pPr>
              <w:pStyle w:val="23"/>
              <w:spacing w:afterAutospacing="0" w:line="360" w:lineRule="auto"/>
              <w:rPr>
                <w:rFonts w:ascii="宋体" w:hAnsi="宋体"/>
              </w:rPr>
            </w:pPr>
            <w:r>
              <w:rPr>
                <w:rFonts w:hint="eastAsia" w:ascii="宋体" w:hAnsi="宋体"/>
              </w:rPr>
              <w:t>联系电话：</w:t>
            </w:r>
          </w:p>
        </w:tc>
        <w:tc>
          <w:tcPr>
            <w:tcW w:w="4262" w:type="dxa"/>
          </w:tcPr>
          <w:p>
            <w:pPr>
              <w:pStyle w:val="23"/>
              <w:spacing w:afterAutospacing="0" w:line="360" w:lineRule="auto"/>
              <w:ind w:firstLine="840" w:firstLineChars="350"/>
              <w:rPr>
                <w:rFonts w:ascii="宋体" w:hAnsi="宋体"/>
              </w:rPr>
            </w:pPr>
          </w:p>
          <w:p>
            <w:pPr>
              <w:pStyle w:val="23"/>
              <w:spacing w:afterAutospacing="0" w:line="360" w:lineRule="auto"/>
              <w:rPr>
                <w:rFonts w:ascii="宋体" w:hAnsi="宋体"/>
                <w:b/>
                <w:u w:val="single"/>
              </w:rPr>
            </w:pPr>
            <w:r>
              <w:rPr>
                <w:rFonts w:hint="eastAsia" w:ascii="宋体" w:hAnsi="宋体"/>
              </w:rPr>
              <w:t>乙方：</w:t>
            </w:r>
            <w:r>
              <w:rPr>
                <w:rFonts w:hint="eastAsia" w:ascii="宋体" w:hAnsi="宋体"/>
                <w:b/>
                <w:u w:val="single"/>
              </w:rPr>
              <w:t xml:space="preserve">                      </w:t>
            </w:r>
          </w:p>
          <w:p>
            <w:pPr>
              <w:spacing w:before="156" w:line="360" w:lineRule="auto"/>
              <w:rPr>
                <w:rFonts w:ascii="宋体" w:hAnsi="宋体"/>
                <w:sz w:val="24"/>
              </w:rPr>
            </w:pPr>
            <w:r>
              <w:rPr>
                <w:rFonts w:ascii="宋体" w:hAnsi="宋体"/>
                <w:sz w:val="24"/>
              </w:rPr>
              <w:t xml:space="preserve">（签章） </w:t>
            </w:r>
          </w:p>
          <w:p>
            <w:pPr>
              <w:spacing w:before="156" w:line="360" w:lineRule="auto"/>
              <w:rPr>
                <w:rFonts w:ascii="宋体" w:hAnsi="宋体"/>
                <w:sz w:val="24"/>
              </w:rPr>
            </w:pPr>
            <w:r>
              <w:rPr>
                <w:rFonts w:ascii="宋体" w:hAnsi="宋体"/>
                <w:sz w:val="24"/>
              </w:rPr>
              <w:t xml:space="preserve">授权代表签字：                                                </w:t>
            </w:r>
          </w:p>
          <w:p>
            <w:pPr>
              <w:pStyle w:val="23"/>
              <w:spacing w:afterAutospacing="0" w:line="360" w:lineRule="auto"/>
              <w:rPr>
                <w:rFonts w:ascii="宋体" w:hAnsi="宋体"/>
              </w:rPr>
            </w:pPr>
            <w:r>
              <w:rPr>
                <w:rFonts w:hint="eastAsia" w:ascii="宋体" w:hAnsi="宋体"/>
              </w:rPr>
              <w:t>日期：</w:t>
            </w:r>
            <w:r>
              <w:rPr>
                <w:rFonts w:ascii="宋体" w:hAnsi="宋体"/>
              </w:rPr>
              <w:t xml:space="preserve">    </w:t>
            </w:r>
          </w:p>
          <w:p>
            <w:pPr>
              <w:pStyle w:val="23"/>
              <w:spacing w:afterAutospacing="0" w:line="360" w:lineRule="auto"/>
              <w:rPr>
                <w:rFonts w:ascii="宋体" w:hAnsi="宋体"/>
              </w:rPr>
            </w:pPr>
            <w:r>
              <w:rPr>
                <w:rFonts w:hint="eastAsia" w:ascii="宋体" w:hAnsi="宋体"/>
              </w:rPr>
              <w:t>联系人：</w:t>
            </w:r>
          </w:p>
          <w:p>
            <w:pPr>
              <w:pStyle w:val="23"/>
              <w:spacing w:afterAutospacing="0" w:line="360" w:lineRule="auto"/>
              <w:rPr>
                <w:rFonts w:ascii="宋体" w:hAnsi="宋体"/>
              </w:rPr>
            </w:pPr>
            <w:r>
              <w:rPr>
                <w:rFonts w:hint="eastAsia" w:ascii="宋体" w:hAnsi="宋体"/>
              </w:rPr>
              <w:t>联系电话：</w:t>
            </w:r>
          </w:p>
        </w:tc>
      </w:tr>
    </w:tbl>
    <w:p>
      <w:pPr>
        <w:pStyle w:val="99"/>
        <w:snapToGrid w:val="0"/>
        <w:spacing w:line="360" w:lineRule="auto"/>
        <w:ind w:firstLine="480"/>
        <w:rPr>
          <w:rFonts w:ascii="宋体" w:hAnsi="宋体"/>
          <w:sz w:val="24"/>
        </w:rPr>
      </w:pPr>
    </w:p>
    <w:p>
      <w:pPr>
        <w:widowControl/>
        <w:jc w:val="left"/>
        <w:rPr>
          <w:rFonts w:asciiTheme="majorHAnsi" w:hAnsiTheme="majorHAnsi"/>
          <w:b/>
          <w:bCs/>
          <w:kern w:val="44"/>
          <w:sz w:val="30"/>
          <w:szCs w:val="30"/>
        </w:rPr>
      </w:pPr>
      <w:bookmarkStart w:id="86" w:name="_Toc7016558"/>
      <w:r>
        <w:rPr>
          <w:sz w:val="30"/>
          <w:szCs w:val="30"/>
        </w:rPr>
        <w:br w:type="page"/>
      </w:r>
    </w:p>
    <w:p>
      <w:pPr>
        <w:pStyle w:val="2"/>
        <w:spacing w:line="360" w:lineRule="auto"/>
        <w:rPr>
          <w:sz w:val="30"/>
          <w:szCs w:val="30"/>
        </w:rPr>
      </w:pPr>
      <w:bookmarkStart w:id="87" w:name="_Toc29062"/>
      <w:bookmarkStart w:id="88" w:name="_Toc7964"/>
      <w:r>
        <w:rPr>
          <w:sz w:val="30"/>
          <w:szCs w:val="30"/>
        </w:rPr>
        <w:t>第四</w:t>
      </w:r>
      <w:r>
        <w:rPr>
          <w:rFonts w:hint="eastAsia"/>
          <w:sz w:val="30"/>
          <w:szCs w:val="30"/>
        </w:rPr>
        <w:t>部分</w:t>
      </w:r>
      <w:r>
        <w:rPr>
          <w:sz w:val="30"/>
          <w:szCs w:val="30"/>
        </w:rPr>
        <w:t xml:space="preserve"> </w:t>
      </w:r>
      <w:bookmarkStart w:id="89" w:name="_Hlk3635993"/>
      <w:r>
        <w:rPr>
          <w:rFonts w:hint="eastAsia"/>
          <w:sz w:val="30"/>
          <w:szCs w:val="30"/>
        </w:rPr>
        <w:t>开标、评标和定标</w:t>
      </w:r>
      <w:bookmarkEnd w:id="86"/>
      <w:bookmarkEnd w:id="87"/>
      <w:bookmarkEnd w:id="88"/>
      <w:bookmarkEnd w:id="89"/>
    </w:p>
    <w:p>
      <w:pPr>
        <w:pStyle w:val="3"/>
        <w:numPr>
          <w:ilvl w:val="0"/>
          <w:numId w:val="10"/>
        </w:numPr>
        <w:autoSpaceDE w:val="0"/>
        <w:autoSpaceDN w:val="0"/>
        <w:adjustRightInd w:val="0"/>
        <w:spacing w:before="156" w:beforeLines="0" w:after="156" w:afterLines="0"/>
        <w:jc w:val="center"/>
        <w:textAlignment w:val="baseline"/>
        <w:rPr>
          <w:rFonts w:ascii="宋体" w:hAnsi="宋体" w:eastAsia="宋体" w:cs="Arial"/>
          <w:sz w:val="28"/>
          <w:szCs w:val="28"/>
        </w:rPr>
      </w:pPr>
      <w:bookmarkStart w:id="90" w:name="_Toc3627192"/>
      <w:bookmarkStart w:id="91" w:name="_Toc29112"/>
      <w:bookmarkStart w:id="92" w:name="_Toc511399082"/>
      <w:bookmarkStart w:id="93" w:name="_Toc46738156"/>
      <w:bookmarkStart w:id="94" w:name="_Toc7016559"/>
      <w:bookmarkStart w:id="95" w:name="_Toc46738290"/>
      <w:bookmarkStart w:id="96" w:name="_Toc75917307"/>
      <w:bookmarkStart w:id="97" w:name="_Toc12118373"/>
      <w:bookmarkStart w:id="98" w:name="_Toc46738417"/>
      <w:bookmarkStart w:id="99" w:name="_Toc22694"/>
      <w:bookmarkStart w:id="100" w:name="_Toc513448414"/>
      <w:r>
        <w:rPr>
          <w:rFonts w:hint="eastAsia" w:ascii="宋体" w:hAnsi="宋体" w:eastAsia="宋体" w:cs="Arial"/>
          <w:sz w:val="28"/>
          <w:szCs w:val="28"/>
        </w:rPr>
        <w:t>评标原则</w:t>
      </w:r>
      <w:bookmarkEnd w:id="90"/>
      <w:bookmarkEnd w:id="91"/>
      <w:bookmarkEnd w:id="92"/>
      <w:bookmarkEnd w:id="93"/>
      <w:bookmarkEnd w:id="94"/>
      <w:bookmarkEnd w:id="95"/>
      <w:bookmarkEnd w:id="96"/>
      <w:bookmarkEnd w:id="97"/>
      <w:bookmarkEnd w:id="98"/>
      <w:bookmarkEnd w:id="99"/>
    </w:p>
    <w:p>
      <w:pPr>
        <w:autoSpaceDE w:val="0"/>
        <w:autoSpaceDN w:val="0"/>
        <w:adjustRightInd w:val="0"/>
        <w:spacing w:line="360" w:lineRule="auto"/>
        <w:rPr>
          <w:rFonts w:ascii="宋体" w:hAnsi="宋体" w:cs="Arial"/>
          <w:b/>
          <w:sz w:val="24"/>
          <w:szCs w:val="28"/>
        </w:rPr>
      </w:pPr>
      <w:bookmarkStart w:id="101" w:name="SubDocScoreRuleItems"/>
      <w:bookmarkEnd w:id="101"/>
      <w:r>
        <w:rPr>
          <w:rFonts w:hint="eastAsia" w:ascii="宋体" w:hAnsi="宋体" w:cs="Arial"/>
          <w:b/>
          <w:sz w:val="24"/>
          <w:szCs w:val="28"/>
        </w:rPr>
        <w:t>1．</w:t>
      </w:r>
      <w:r>
        <w:rPr>
          <w:rFonts w:hint="eastAsia" w:ascii="宋体" w:hAnsi="宋体" w:cs="Arial"/>
          <w:b/>
          <w:sz w:val="24"/>
          <w:szCs w:val="28"/>
        </w:rPr>
        <w:tab/>
      </w:r>
      <w:r>
        <w:rPr>
          <w:rFonts w:hint="eastAsia" w:ascii="宋体" w:hAnsi="宋体" w:cs="Arial"/>
          <w:b/>
          <w:sz w:val="24"/>
          <w:szCs w:val="28"/>
        </w:rPr>
        <w:t>总则</w:t>
      </w:r>
    </w:p>
    <w:p>
      <w:pPr>
        <w:spacing w:line="360" w:lineRule="auto"/>
        <w:ind w:left="975" w:leftChars="171" w:hanging="616" w:hangingChars="257"/>
        <w:rPr>
          <w:rFonts w:ascii="宋体" w:hAnsi="宋体" w:cs="Arial"/>
          <w:sz w:val="24"/>
          <w:szCs w:val="28"/>
        </w:rPr>
      </w:pPr>
      <w:r>
        <w:rPr>
          <w:rFonts w:hint="eastAsia" w:ascii="宋体" w:hAnsi="宋体" w:cs="Arial"/>
          <w:sz w:val="24"/>
          <w:szCs w:val="28"/>
        </w:rPr>
        <w:t>1.1 本次招标的评标方法遵循有关法律法规。</w:t>
      </w:r>
    </w:p>
    <w:p>
      <w:pPr>
        <w:spacing w:line="360" w:lineRule="auto"/>
        <w:ind w:left="975" w:leftChars="171" w:hanging="616" w:hangingChars="257"/>
        <w:rPr>
          <w:rFonts w:ascii="宋体" w:hAnsi="宋体" w:cs="Arial"/>
          <w:sz w:val="24"/>
          <w:szCs w:val="28"/>
        </w:rPr>
      </w:pPr>
      <w:r>
        <w:rPr>
          <w:rFonts w:hint="eastAsia" w:ascii="宋体" w:hAnsi="宋体" w:cs="Arial"/>
          <w:sz w:val="24"/>
          <w:szCs w:val="28"/>
        </w:rPr>
        <w:t>1.2 评标必须以招标文件中各项规定条件为准。</w:t>
      </w:r>
    </w:p>
    <w:p>
      <w:pPr>
        <w:spacing w:line="360" w:lineRule="auto"/>
        <w:ind w:left="975" w:leftChars="171" w:hanging="616" w:hangingChars="257"/>
        <w:rPr>
          <w:rFonts w:ascii="宋体" w:hAnsi="宋体" w:cs="Arial"/>
          <w:sz w:val="24"/>
          <w:szCs w:val="28"/>
        </w:rPr>
      </w:pPr>
      <w:r>
        <w:rPr>
          <w:rFonts w:hint="eastAsia" w:ascii="宋体" w:hAnsi="宋体" w:cs="Arial"/>
          <w:sz w:val="24"/>
          <w:szCs w:val="28"/>
        </w:rPr>
        <w:t>1.3 评标工作由采购人负责组织，具体评标事务由采购人依法组建的评标委员会负责，并独立履行下列职责：</w:t>
      </w:r>
    </w:p>
    <w:p>
      <w:pPr>
        <w:autoSpaceDE w:val="0"/>
        <w:autoSpaceDN w:val="0"/>
        <w:adjustRightInd w:val="0"/>
        <w:spacing w:line="360" w:lineRule="auto"/>
        <w:ind w:firstLine="480" w:firstLineChars="200"/>
        <w:rPr>
          <w:rFonts w:ascii="宋体" w:hAnsi="宋体" w:cs="Arial"/>
          <w:sz w:val="24"/>
          <w:szCs w:val="28"/>
        </w:rPr>
      </w:pPr>
      <w:r>
        <w:rPr>
          <w:rFonts w:hint="eastAsia" w:ascii="宋体" w:hAnsi="宋体" w:cs="Arial"/>
          <w:sz w:val="24"/>
          <w:szCs w:val="28"/>
        </w:rPr>
        <w:t>（1）审查投标文件是否符合招标文件要求，并作出评价；</w:t>
      </w:r>
    </w:p>
    <w:p>
      <w:pPr>
        <w:autoSpaceDE w:val="0"/>
        <w:autoSpaceDN w:val="0"/>
        <w:adjustRightInd w:val="0"/>
        <w:spacing w:line="360" w:lineRule="auto"/>
        <w:ind w:firstLine="480" w:firstLineChars="200"/>
        <w:rPr>
          <w:rFonts w:ascii="宋体" w:hAnsi="宋体" w:cs="Arial"/>
          <w:sz w:val="24"/>
          <w:szCs w:val="28"/>
        </w:rPr>
      </w:pPr>
      <w:r>
        <w:rPr>
          <w:rFonts w:hint="eastAsia" w:ascii="宋体" w:hAnsi="宋体" w:cs="Arial"/>
          <w:sz w:val="24"/>
          <w:szCs w:val="28"/>
        </w:rPr>
        <w:t>（2）要求投标供应商对投标文件有关事项作出解释或者澄清；</w:t>
      </w:r>
    </w:p>
    <w:p>
      <w:pPr>
        <w:autoSpaceDE w:val="0"/>
        <w:autoSpaceDN w:val="0"/>
        <w:adjustRightInd w:val="0"/>
        <w:spacing w:line="360" w:lineRule="auto"/>
        <w:ind w:firstLine="480" w:firstLineChars="200"/>
        <w:rPr>
          <w:rFonts w:ascii="宋体" w:hAnsi="宋体" w:cs="Arial"/>
          <w:sz w:val="24"/>
          <w:szCs w:val="28"/>
        </w:rPr>
      </w:pPr>
      <w:r>
        <w:rPr>
          <w:rFonts w:hint="eastAsia" w:ascii="宋体" w:hAnsi="宋体" w:cs="Arial"/>
          <w:sz w:val="24"/>
          <w:szCs w:val="28"/>
        </w:rPr>
        <w:t>（3）推荐中标候选供应商名单，或者受采购人委托按照事先确定的办法直接确定中标供应商；</w:t>
      </w:r>
    </w:p>
    <w:p>
      <w:pPr>
        <w:autoSpaceDE w:val="0"/>
        <w:autoSpaceDN w:val="0"/>
        <w:adjustRightInd w:val="0"/>
        <w:spacing w:line="360" w:lineRule="auto"/>
        <w:ind w:firstLine="480" w:firstLineChars="200"/>
        <w:rPr>
          <w:rFonts w:ascii="宋体" w:hAnsi="宋体" w:cs="Arial"/>
          <w:sz w:val="24"/>
          <w:szCs w:val="28"/>
        </w:rPr>
      </w:pPr>
      <w:r>
        <w:rPr>
          <w:rFonts w:hint="eastAsia" w:ascii="宋体" w:hAnsi="宋体" w:cs="Arial"/>
          <w:sz w:val="24"/>
          <w:szCs w:val="28"/>
        </w:rPr>
        <w:t>（4）向采购人或者有关部门报告非法干预评标工作的行为。</w:t>
      </w:r>
    </w:p>
    <w:p>
      <w:pPr>
        <w:tabs>
          <w:tab w:val="left" w:pos="0"/>
        </w:tabs>
        <w:autoSpaceDE w:val="0"/>
        <w:autoSpaceDN w:val="0"/>
        <w:adjustRightInd w:val="0"/>
        <w:spacing w:line="360" w:lineRule="auto"/>
        <w:rPr>
          <w:rFonts w:ascii="宋体" w:hAnsi="宋体" w:cs="Arial"/>
          <w:b/>
          <w:sz w:val="24"/>
          <w:szCs w:val="28"/>
        </w:rPr>
      </w:pPr>
      <w:r>
        <w:rPr>
          <w:rFonts w:hint="eastAsia" w:ascii="宋体" w:hAnsi="宋体" w:cs="Arial"/>
          <w:b/>
          <w:sz w:val="24"/>
          <w:szCs w:val="28"/>
        </w:rPr>
        <w:t>2．评标委员会</w:t>
      </w:r>
    </w:p>
    <w:p>
      <w:pPr>
        <w:spacing w:line="360" w:lineRule="auto"/>
        <w:ind w:left="975" w:leftChars="171" w:hanging="616" w:hangingChars="257"/>
        <w:rPr>
          <w:rFonts w:ascii="宋体" w:hAnsi="宋体" w:cs="Arial"/>
          <w:sz w:val="24"/>
          <w:szCs w:val="28"/>
        </w:rPr>
      </w:pPr>
      <w:r>
        <w:rPr>
          <w:rFonts w:hint="eastAsia" w:ascii="宋体" w:hAnsi="宋体" w:cs="Arial"/>
          <w:sz w:val="24"/>
          <w:szCs w:val="28"/>
        </w:rPr>
        <w:t>2.1</w:t>
      </w:r>
      <w:r>
        <w:rPr>
          <w:rFonts w:hint="eastAsia" w:ascii="宋体" w:hAnsi="宋体" w:cs="Arial"/>
          <w:sz w:val="24"/>
          <w:szCs w:val="28"/>
        </w:rPr>
        <w:tab/>
      </w:r>
      <w:r>
        <w:rPr>
          <w:rFonts w:hint="eastAsia" w:ascii="宋体" w:hAnsi="宋体" w:cs="Arial"/>
          <w:sz w:val="24"/>
          <w:szCs w:val="28"/>
        </w:rPr>
        <w:t>采购人根据招标标的特点组建评标委员会，评标委员会对投标文件进行审查、质疑、评估、比较。</w:t>
      </w:r>
    </w:p>
    <w:p>
      <w:pPr>
        <w:spacing w:line="360" w:lineRule="auto"/>
        <w:ind w:left="975" w:leftChars="171" w:hanging="616" w:hangingChars="257"/>
        <w:rPr>
          <w:rFonts w:ascii="宋体" w:hAnsi="宋体" w:cs="Arial"/>
          <w:sz w:val="24"/>
          <w:szCs w:val="28"/>
        </w:rPr>
      </w:pPr>
      <w:r>
        <w:rPr>
          <w:rFonts w:hint="eastAsia" w:ascii="宋体" w:hAnsi="宋体" w:cs="Arial"/>
          <w:sz w:val="24"/>
          <w:szCs w:val="28"/>
        </w:rPr>
        <w:t>2.2</w:t>
      </w:r>
      <w:r>
        <w:rPr>
          <w:rFonts w:hint="eastAsia" w:ascii="宋体" w:hAnsi="宋体" w:cs="Arial"/>
          <w:sz w:val="24"/>
          <w:szCs w:val="28"/>
        </w:rPr>
        <w:tab/>
      </w:r>
      <w:r>
        <w:rPr>
          <w:rFonts w:hint="eastAsia" w:ascii="宋体" w:hAnsi="宋体" w:cs="Arial"/>
          <w:sz w:val="24"/>
          <w:szCs w:val="28"/>
        </w:rPr>
        <w:t>为了评标工作公平进行，参加评标的成员应实行回避制度。</w:t>
      </w:r>
    </w:p>
    <w:p>
      <w:pPr>
        <w:spacing w:line="360" w:lineRule="auto"/>
        <w:ind w:left="975" w:leftChars="171" w:hanging="616" w:hangingChars="257"/>
        <w:rPr>
          <w:rFonts w:ascii="宋体" w:hAnsi="宋体" w:cs="Arial"/>
          <w:b/>
          <w:sz w:val="24"/>
          <w:szCs w:val="28"/>
        </w:rPr>
      </w:pPr>
      <w:r>
        <w:rPr>
          <w:rFonts w:hint="eastAsia" w:ascii="宋体" w:hAnsi="宋体" w:cs="Arial"/>
          <w:sz w:val="24"/>
          <w:szCs w:val="28"/>
        </w:rPr>
        <w:t>2.3</w:t>
      </w:r>
      <w:r>
        <w:rPr>
          <w:rFonts w:hint="eastAsia" w:ascii="宋体" w:hAnsi="宋体" w:cs="Arial"/>
          <w:sz w:val="24"/>
          <w:szCs w:val="28"/>
        </w:rPr>
        <w:tab/>
      </w:r>
      <w:r>
        <w:rPr>
          <w:rFonts w:hint="eastAsia" w:ascii="宋体" w:hAnsi="宋体" w:cs="Arial"/>
          <w:sz w:val="24"/>
          <w:szCs w:val="28"/>
        </w:rPr>
        <w:t>评标委员会成员的名单在中标结果确定前应当保密。</w:t>
      </w:r>
    </w:p>
    <w:p>
      <w:pPr>
        <w:tabs>
          <w:tab w:val="left" w:pos="0"/>
        </w:tabs>
        <w:autoSpaceDE w:val="0"/>
        <w:autoSpaceDN w:val="0"/>
        <w:adjustRightInd w:val="0"/>
        <w:spacing w:line="360" w:lineRule="auto"/>
        <w:rPr>
          <w:rFonts w:ascii="宋体" w:hAnsi="宋体" w:cs="Arial"/>
          <w:b/>
          <w:sz w:val="24"/>
          <w:szCs w:val="28"/>
        </w:rPr>
      </w:pPr>
      <w:r>
        <w:rPr>
          <w:rFonts w:hint="eastAsia" w:ascii="宋体" w:hAnsi="宋体" w:cs="Arial"/>
          <w:b/>
          <w:sz w:val="24"/>
          <w:szCs w:val="28"/>
        </w:rPr>
        <w:t>3. 对投标文件的审查和确定</w:t>
      </w:r>
    </w:p>
    <w:p>
      <w:pPr>
        <w:spacing w:line="360" w:lineRule="auto"/>
        <w:ind w:left="975" w:leftChars="171" w:hanging="616" w:hangingChars="257"/>
        <w:rPr>
          <w:rFonts w:ascii="宋体" w:hAnsi="宋体" w:cs="Arial"/>
          <w:sz w:val="24"/>
          <w:szCs w:val="28"/>
        </w:rPr>
      </w:pPr>
      <w:r>
        <w:rPr>
          <w:rFonts w:hint="eastAsia" w:ascii="宋体" w:hAnsi="宋体" w:cs="Arial"/>
          <w:sz w:val="24"/>
          <w:szCs w:val="28"/>
        </w:rPr>
        <w:t>3.1</w:t>
      </w:r>
      <w:r>
        <w:rPr>
          <w:rFonts w:hint="eastAsia" w:ascii="宋体" w:hAnsi="宋体" w:cs="Arial"/>
          <w:sz w:val="24"/>
          <w:szCs w:val="28"/>
        </w:rPr>
        <w:tab/>
      </w:r>
      <w:r>
        <w:rPr>
          <w:rFonts w:hint="eastAsia" w:ascii="宋体" w:hAnsi="宋体" w:cs="Arial"/>
          <w:sz w:val="24"/>
          <w:szCs w:val="28"/>
        </w:rPr>
        <w:t>评标委员会判断投标文件的响应性仅基于投标文件本身而不寻求外部证据。</w:t>
      </w:r>
    </w:p>
    <w:p>
      <w:pPr>
        <w:spacing w:line="360" w:lineRule="auto"/>
        <w:ind w:left="975" w:leftChars="171" w:hanging="616" w:hangingChars="257"/>
        <w:rPr>
          <w:rFonts w:ascii="宋体" w:hAnsi="宋体" w:cs="Arial"/>
          <w:b/>
          <w:sz w:val="24"/>
          <w:szCs w:val="28"/>
        </w:rPr>
      </w:pPr>
      <w:r>
        <w:rPr>
          <w:rFonts w:hint="eastAsia" w:ascii="宋体" w:hAnsi="宋体" w:cs="Arial"/>
          <w:sz w:val="24"/>
          <w:szCs w:val="28"/>
        </w:rPr>
        <w:t>3.2</w:t>
      </w:r>
      <w:r>
        <w:rPr>
          <w:rFonts w:hint="eastAsia" w:ascii="宋体" w:hAnsi="宋体" w:cs="Arial"/>
          <w:sz w:val="24"/>
          <w:szCs w:val="28"/>
        </w:rPr>
        <w:tab/>
      </w:r>
      <w:r>
        <w:rPr>
          <w:rFonts w:hint="eastAsia" w:ascii="宋体" w:hAnsi="宋体" w:cs="Arial"/>
          <w:sz w:val="24"/>
          <w:szCs w:val="28"/>
        </w:rPr>
        <w:t>对于被拒绝的投标文件，采购人无须对投标人作任何解释。</w:t>
      </w:r>
    </w:p>
    <w:p>
      <w:pPr>
        <w:autoSpaceDE w:val="0"/>
        <w:autoSpaceDN w:val="0"/>
        <w:adjustRightInd w:val="0"/>
        <w:spacing w:line="360" w:lineRule="auto"/>
        <w:rPr>
          <w:rFonts w:ascii="宋体" w:hAnsi="宋体" w:cs="Arial"/>
          <w:b/>
          <w:sz w:val="24"/>
          <w:szCs w:val="28"/>
        </w:rPr>
      </w:pPr>
      <w:r>
        <w:rPr>
          <w:rFonts w:hint="eastAsia" w:ascii="宋体" w:hAnsi="宋体" w:cs="Arial"/>
          <w:b/>
          <w:sz w:val="24"/>
          <w:szCs w:val="28"/>
        </w:rPr>
        <w:t>4．</w:t>
      </w:r>
      <w:r>
        <w:rPr>
          <w:rFonts w:hint="eastAsia" w:ascii="宋体" w:hAnsi="宋体" w:cs="Arial"/>
          <w:b/>
          <w:sz w:val="24"/>
          <w:szCs w:val="28"/>
        </w:rPr>
        <w:tab/>
      </w:r>
      <w:r>
        <w:rPr>
          <w:rFonts w:hint="eastAsia" w:ascii="宋体" w:hAnsi="宋体" w:cs="Arial"/>
          <w:b/>
          <w:sz w:val="24"/>
          <w:szCs w:val="28"/>
        </w:rPr>
        <w:t>投标文件的澄清</w:t>
      </w:r>
    </w:p>
    <w:p>
      <w:pPr>
        <w:spacing w:line="360" w:lineRule="auto"/>
        <w:ind w:left="975" w:leftChars="171" w:hanging="616" w:hangingChars="257"/>
        <w:rPr>
          <w:rFonts w:ascii="宋体" w:hAnsi="宋体" w:cs="Arial"/>
          <w:sz w:val="24"/>
          <w:szCs w:val="28"/>
        </w:rPr>
      </w:pPr>
      <w:r>
        <w:rPr>
          <w:rFonts w:hint="eastAsia" w:ascii="宋体" w:hAnsi="宋体" w:cs="Arial"/>
          <w:sz w:val="24"/>
          <w:szCs w:val="28"/>
        </w:rPr>
        <w:t>4.1</w:t>
      </w:r>
      <w:r>
        <w:rPr>
          <w:rFonts w:hint="eastAsia" w:ascii="宋体" w:hAnsi="宋体" w:cs="Arial"/>
          <w:sz w:val="24"/>
          <w:szCs w:val="28"/>
        </w:rPr>
        <w:tab/>
      </w:r>
      <w:r>
        <w:rPr>
          <w:rFonts w:hint="eastAsia" w:ascii="宋体" w:hAnsi="宋体" w:cs="Arial"/>
          <w:sz w:val="24"/>
          <w:szCs w:val="28"/>
        </w:rPr>
        <w:t>评标委员会可以书面方式要求投标人对投标文件中含义不明确、对同类问题表述不一致或者有明显文字和计算错误的内容作必要的澄清、说明或者补正。</w:t>
      </w:r>
    </w:p>
    <w:p>
      <w:pPr>
        <w:spacing w:line="360" w:lineRule="auto"/>
        <w:ind w:left="975" w:leftChars="171" w:hanging="616" w:hangingChars="257"/>
        <w:rPr>
          <w:rFonts w:ascii="宋体" w:hAnsi="宋体" w:cs="Arial"/>
          <w:sz w:val="24"/>
          <w:szCs w:val="28"/>
        </w:rPr>
      </w:pPr>
      <w:r>
        <w:rPr>
          <w:rFonts w:hint="eastAsia" w:ascii="宋体" w:hAnsi="宋体" w:cs="Arial"/>
          <w:sz w:val="24"/>
          <w:szCs w:val="28"/>
        </w:rPr>
        <w:t>4.2</w:t>
      </w:r>
      <w:r>
        <w:rPr>
          <w:rFonts w:hint="eastAsia" w:ascii="宋体" w:hAnsi="宋体" w:cs="Arial"/>
          <w:sz w:val="24"/>
          <w:szCs w:val="28"/>
        </w:rPr>
        <w:tab/>
      </w:r>
      <w:r>
        <w:rPr>
          <w:rFonts w:hint="eastAsia" w:ascii="宋体" w:hAnsi="宋体" w:cs="Arial"/>
          <w:sz w:val="24"/>
          <w:szCs w:val="28"/>
        </w:rPr>
        <w:t>投标人有责任按照采购人通知的时间、地点指派专人进行澄清。澄清、说明或者补正应以书面方式进行并不得超出投标文件的范围或者改变投标文件的实质性内容。</w:t>
      </w:r>
    </w:p>
    <w:p>
      <w:pPr>
        <w:spacing w:line="360" w:lineRule="auto"/>
        <w:ind w:left="975" w:leftChars="171" w:hanging="616" w:hangingChars="257"/>
        <w:rPr>
          <w:rFonts w:ascii="宋体" w:hAnsi="宋体" w:cs="Arial"/>
          <w:sz w:val="24"/>
          <w:szCs w:val="28"/>
        </w:rPr>
      </w:pPr>
      <w:r>
        <w:rPr>
          <w:rFonts w:hint="eastAsia" w:ascii="宋体" w:hAnsi="宋体" w:cs="Arial"/>
          <w:sz w:val="24"/>
          <w:szCs w:val="28"/>
        </w:rPr>
        <w:t>4.3</w:t>
      </w:r>
      <w:r>
        <w:rPr>
          <w:rFonts w:hint="eastAsia" w:ascii="宋体" w:hAnsi="宋体" w:cs="Arial"/>
          <w:sz w:val="24"/>
          <w:szCs w:val="28"/>
        </w:rPr>
        <w:tab/>
      </w:r>
      <w:r>
        <w:rPr>
          <w:rFonts w:hint="eastAsia" w:ascii="宋体" w:hAnsi="宋体" w:cs="Arial"/>
          <w:sz w:val="24"/>
          <w:szCs w:val="28"/>
        </w:rPr>
        <w:t>采购人将拒绝被确定为非实质性响应的投标人，投标人不能通过修正或撤销不符之处而使其投标成为实质性响应的投标。</w:t>
      </w:r>
    </w:p>
    <w:p>
      <w:pPr>
        <w:autoSpaceDE w:val="0"/>
        <w:autoSpaceDN w:val="0"/>
        <w:adjustRightInd w:val="0"/>
        <w:spacing w:line="360" w:lineRule="auto"/>
        <w:rPr>
          <w:rFonts w:ascii="宋体" w:hAnsi="宋体" w:cs="Arial"/>
          <w:b/>
          <w:sz w:val="24"/>
          <w:szCs w:val="28"/>
        </w:rPr>
      </w:pPr>
      <w:r>
        <w:rPr>
          <w:rFonts w:hint="eastAsia" w:ascii="宋体" w:hAnsi="宋体" w:cs="Arial"/>
          <w:b/>
          <w:sz w:val="24"/>
          <w:szCs w:val="28"/>
        </w:rPr>
        <w:t>5．投标无效及废标</w:t>
      </w:r>
    </w:p>
    <w:p>
      <w:pPr>
        <w:spacing w:line="360" w:lineRule="auto"/>
        <w:ind w:left="975" w:leftChars="171" w:hanging="616" w:hangingChars="257"/>
        <w:rPr>
          <w:rFonts w:ascii="宋体" w:hAnsi="宋体" w:cs="Arial"/>
          <w:sz w:val="24"/>
          <w:szCs w:val="28"/>
        </w:rPr>
      </w:pPr>
      <w:r>
        <w:rPr>
          <w:rFonts w:hint="eastAsia" w:ascii="宋体" w:hAnsi="宋体" w:cs="Arial"/>
          <w:sz w:val="24"/>
          <w:szCs w:val="28"/>
        </w:rPr>
        <w:t>5.1 具体要求见第一部分投标须知中有关要求。出现废标和投标无效时，按规定填写说明情况后，评标委员会审核通过。</w:t>
      </w:r>
    </w:p>
    <w:p>
      <w:pPr>
        <w:autoSpaceDE w:val="0"/>
        <w:autoSpaceDN w:val="0"/>
        <w:adjustRightInd w:val="0"/>
        <w:spacing w:line="360" w:lineRule="auto"/>
        <w:rPr>
          <w:rFonts w:ascii="宋体" w:hAnsi="宋体" w:cs="Arial"/>
          <w:b/>
          <w:sz w:val="24"/>
          <w:szCs w:val="28"/>
        </w:rPr>
      </w:pPr>
      <w:r>
        <w:rPr>
          <w:rFonts w:hint="eastAsia" w:ascii="宋体" w:hAnsi="宋体" w:cs="Arial"/>
          <w:b/>
          <w:sz w:val="24"/>
          <w:szCs w:val="28"/>
        </w:rPr>
        <w:t>6. 保密</w:t>
      </w:r>
    </w:p>
    <w:p>
      <w:pPr>
        <w:spacing w:line="360" w:lineRule="auto"/>
        <w:ind w:left="975" w:leftChars="171" w:hanging="616" w:hangingChars="257"/>
        <w:rPr>
          <w:rFonts w:ascii="宋体" w:hAnsi="宋体" w:cs="Arial"/>
          <w:sz w:val="24"/>
          <w:szCs w:val="28"/>
        </w:rPr>
      </w:pPr>
      <w:r>
        <w:rPr>
          <w:rFonts w:hint="eastAsia" w:ascii="宋体" w:hAnsi="宋体" w:cs="Arial"/>
          <w:sz w:val="24"/>
          <w:szCs w:val="28"/>
        </w:rPr>
        <w:t>6.1</w:t>
      </w:r>
      <w:r>
        <w:rPr>
          <w:rFonts w:hint="eastAsia" w:ascii="宋体" w:hAnsi="宋体" w:cs="Arial"/>
          <w:sz w:val="24"/>
          <w:szCs w:val="28"/>
        </w:rPr>
        <w:tab/>
      </w:r>
      <w:r>
        <w:rPr>
          <w:rFonts w:hint="eastAsia" w:ascii="宋体" w:hAnsi="宋体" w:cs="Arial"/>
          <w:sz w:val="24"/>
          <w:szCs w:val="28"/>
        </w:rPr>
        <w:t>除响应采购人要求对投标文件进行澄清外，任何时候任何投标人在招标结果宣布之前均不得与采购人联系询问评标情况及其他相关内容。</w:t>
      </w:r>
    </w:p>
    <w:p>
      <w:pPr>
        <w:spacing w:line="360" w:lineRule="auto"/>
        <w:ind w:left="975" w:leftChars="171" w:hanging="616" w:hangingChars="257"/>
        <w:rPr>
          <w:rFonts w:ascii="宋体" w:hAnsi="宋体" w:cs="Arial"/>
          <w:sz w:val="24"/>
          <w:szCs w:val="28"/>
        </w:rPr>
      </w:pPr>
      <w:r>
        <w:rPr>
          <w:rFonts w:hint="eastAsia" w:ascii="宋体" w:hAnsi="宋体" w:cs="Arial"/>
          <w:sz w:val="24"/>
          <w:szCs w:val="28"/>
        </w:rPr>
        <w:t>6.2</w:t>
      </w:r>
      <w:r>
        <w:rPr>
          <w:rFonts w:hint="eastAsia" w:ascii="宋体" w:hAnsi="宋体" w:cs="Arial"/>
          <w:sz w:val="24"/>
          <w:szCs w:val="28"/>
        </w:rPr>
        <w:tab/>
      </w:r>
      <w:r>
        <w:rPr>
          <w:rFonts w:hint="eastAsia" w:ascii="宋体" w:hAnsi="宋体" w:cs="Arial"/>
          <w:sz w:val="24"/>
          <w:szCs w:val="28"/>
        </w:rPr>
        <w:t>凡参与招标评标工作的有关人员均不得将有关投标文件的审查、澄清、评估和比较以及有关授予合同的意向的一切情况透露给任一投标人或与上述评标工作无关的人员。</w:t>
      </w:r>
    </w:p>
    <w:p>
      <w:pPr>
        <w:autoSpaceDE w:val="0"/>
        <w:autoSpaceDN w:val="0"/>
        <w:adjustRightInd w:val="0"/>
        <w:spacing w:line="360" w:lineRule="auto"/>
        <w:rPr>
          <w:rFonts w:ascii="宋体" w:hAnsi="宋体" w:cs="Arial"/>
          <w:b/>
          <w:sz w:val="24"/>
          <w:szCs w:val="28"/>
        </w:rPr>
      </w:pPr>
      <w:r>
        <w:rPr>
          <w:rFonts w:hint="eastAsia" w:ascii="宋体" w:hAnsi="宋体" w:cs="Arial"/>
          <w:b/>
          <w:sz w:val="24"/>
          <w:szCs w:val="28"/>
        </w:rPr>
        <w:t xml:space="preserve">7. </w:t>
      </w:r>
      <w:r>
        <w:rPr>
          <w:rFonts w:hint="eastAsia" w:ascii="宋体" w:hAnsi="宋体" w:cs="Arial"/>
          <w:b/>
          <w:sz w:val="24"/>
          <w:szCs w:val="28"/>
          <w:lang w:val="zh-CN"/>
        </w:rPr>
        <w:t>评标原则</w:t>
      </w:r>
    </w:p>
    <w:p>
      <w:pPr>
        <w:spacing w:line="360" w:lineRule="auto"/>
        <w:ind w:left="975" w:leftChars="171" w:hanging="616" w:hangingChars="257"/>
        <w:rPr>
          <w:rFonts w:ascii="宋体" w:hAnsi="宋体" w:cs="Arial"/>
          <w:sz w:val="24"/>
          <w:szCs w:val="28"/>
        </w:rPr>
      </w:pPr>
      <w:r>
        <w:rPr>
          <w:rFonts w:hint="eastAsia" w:ascii="宋体" w:hAnsi="宋体" w:cs="Arial"/>
          <w:sz w:val="24"/>
          <w:szCs w:val="28"/>
        </w:rPr>
        <w:t>7.1  评标委员会将遵照公正、公平、公开的评标原则，严格按照招标文件的要求和条件进行评标，平等地对待所有投标人，择优定标。</w:t>
      </w:r>
    </w:p>
    <w:p>
      <w:pPr>
        <w:spacing w:line="360" w:lineRule="auto"/>
        <w:jc w:val="center"/>
        <w:rPr>
          <w:rFonts w:ascii="宋体" w:hAnsi="宋体" w:cs="Arial"/>
          <w:b/>
          <w:sz w:val="24"/>
          <w:szCs w:val="28"/>
        </w:rPr>
      </w:pPr>
    </w:p>
    <w:p>
      <w:pPr>
        <w:spacing w:line="360" w:lineRule="auto"/>
        <w:jc w:val="center"/>
        <w:rPr>
          <w:rFonts w:ascii="宋体" w:hAnsi="宋体" w:cs="Arial"/>
          <w:b/>
          <w:sz w:val="24"/>
          <w:szCs w:val="28"/>
        </w:rPr>
      </w:pPr>
    </w:p>
    <w:p>
      <w:pPr>
        <w:pStyle w:val="3"/>
        <w:numPr>
          <w:ilvl w:val="0"/>
          <w:numId w:val="10"/>
        </w:numPr>
        <w:autoSpaceDE w:val="0"/>
        <w:autoSpaceDN w:val="0"/>
        <w:adjustRightInd w:val="0"/>
        <w:spacing w:before="156" w:beforeLines="0" w:after="156" w:afterLines="0"/>
        <w:jc w:val="center"/>
        <w:textAlignment w:val="baseline"/>
        <w:rPr>
          <w:rFonts w:ascii="宋体" w:hAnsi="宋体" w:eastAsia="宋体" w:cs="Arial"/>
          <w:sz w:val="30"/>
          <w:szCs w:val="30"/>
        </w:rPr>
      </w:pPr>
      <w:r>
        <w:rPr>
          <w:rFonts w:ascii="宋体" w:hAnsi="宋体" w:eastAsia="宋体" w:cs="Arial"/>
          <w:szCs w:val="28"/>
        </w:rPr>
        <w:br w:type="page"/>
      </w:r>
      <w:bookmarkStart w:id="102" w:name="_Toc17175"/>
      <w:bookmarkStart w:id="103" w:name="_Toc7016560"/>
      <w:bookmarkStart w:id="104" w:name="_Toc31929"/>
      <w:r>
        <w:rPr>
          <w:rFonts w:hint="eastAsia" w:ascii="宋体" w:hAnsi="宋体" w:eastAsia="宋体" w:cs="Arial"/>
          <w:sz w:val="30"/>
          <w:szCs w:val="30"/>
        </w:rPr>
        <w:t>评标方法</w:t>
      </w:r>
      <w:bookmarkEnd w:id="102"/>
      <w:bookmarkEnd w:id="103"/>
      <w:bookmarkEnd w:id="104"/>
    </w:p>
    <w:p>
      <w:pPr>
        <w:spacing w:line="360" w:lineRule="auto"/>
        <w:rPr>
          <w:rFonts w:ascii="宋体" w:hAnsi="宋体" w:cs="Arial"/>
          <w:b/>
          <w:sz w:val="24"/>
          <w:szCs w:val="28"/>
        </w:rPr>
      </w:pPr>
    </w:p>
    <w:p>
      <w:pPr>
        <w:numPr>
          <w:ilvl w:val="0"/>
          <w:numId w:val="11"/>
        </w:numPr>
        <w:tabs>
          <w:tab w:val="left" w:pos="284"/>
          <w:tab w:val="clear" w:pos="425"/>
        </w:tabs>
        <w:spacing w:line="360" w:lineRule="auto"/>
        <w:rPr>
          <w:rFonts w:ascii="宋体" w:hAnsi="宋体" w:cs="Arial"/>
          <w:sz w:val="24"/>
          <w:szCs w:val="28"/>
        </w:rPr>
      </w:pPr>
      <w:r>
        <w:rPr>
          <w:rFonts w:hint="eastAsia" w:ascii="宋体" w:hAnsi="宋体" w:cs="Arial"/>
          <w:b/>
          <w:sz w:val="24"/>
          <w:szCs w:val="28"/>
        </w:rPr>
        <w:t>评标须知</w:t>
      </w:r>
    </w:p>
    <w:p>
      <w:pPr>
        <w:numPr>
          <w:ilvl w:val="1"/>
          <w:numId w:val="12"/>
        </w:numPr>
        <w:tabs>
          <w:tab w:val="left" w:pos="709"/>
          <w:tab w:val="left" w:pos="993"/>
          <w:tab w:val="clear" w:pos="3402"/>
        </w:tabs>
        <w:autoSpaceDE w:val="0"/>
        <w:autoSpaceDN w:val="0"/>
        <w:adjustRightInd w:val="0"/>
        <w:spacing w:line="360" w:lineRule="auto"/>
        <w:ind w:left="573" w:leftChars="135" w:hanging="290" w:hangingChars="121"/>
        <w:rPr>
          <w:rFonts w:ascii="宋体" w:hAnsi="宋体" w:cs="Arial"/>
          <w:sz w:val="24"/>
          <w:szCs w:val="28"/>
          <w:lang w:val="zh-CN"/>
        </w:rPr>
      </w:pPr>
      <w:r>
        <w:rPr>
          <w:rFonts w:hint="eastAsia" w:ascii="宋体" w:hAnsi="宋体" w:cs="Arial"/>
          <w:sz w:val="24"/>
          <w:szCs w:val="28"/>
          <w:lang w:val="zh-CN"/>
        </w:rPr>
        <w:t>评标委员会的每个成员(以下简称评委)如有以下情形之一应予以回避：</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投标人或者投标人主要负责人的近亲属；</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项目上级主管部门或者行政监督部门的人员；</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与投标人有经济利益关系，可能影响对投标公正评审的；</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曾因在招标、评标以及其他与招标投标有关活动中从事违法行为而受过行政处罚或刑事处罚的。</w:t>
      </w:r>
    </w:p>
    <w:p>
      <w:pPr>
        <w:numPr>
          <w:ilvl w:val="1"/>
          <w:numId w:val="12"/>
        </w:numPr>
        <w:tabs>
          <w:tab w:val="left" w:pos="709"/>
          <w:tab w:val="left" w:pos="993"/>
          <w:tab w:val="clear" w:pos="3402"/>
        </w:tabs>
        <w:autoSpaceDE w:val="0"/>
        <w:autoSpaceDN w:val="0"/>
        <w:adjustRightInd w:val="0"/>
        <w:spacing w:line="360" w:lineRule="auto"/>
        <w:ind w:left="573" w:leftChars="135" w:hanging="290" w:hangingChars="121"/>
        <w:rPr>
          <w:rFonts w:ascii="宋体" w:hAnsi="宋体" w:cs="Arial"/>
          <w:sz w:val="24"/>
          <w:szCs w:val="28"/>
          <w:lang w:val="zh-CN"/>
        </w:rPr>
      </w:pPr>
      <w:r>
        <w:rPr>
          <w:rFonts w:hint="eastAsia" w:ascii="宋体" w:hAnsi="宋体" w:cs="Arial"/>
          <w:sz w:val="24"/>
          <w:szCs w:val="28"/>
          <w:lang w:val="zh-CN"/>
        </w:rPr>
        <w:t>评标委员会成员应当履行下列义务：</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遵纪守法，客观、公正、廉洁地履行职责；</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按照招标文件规定的评标方法和评标标准进行评标，对评审意见承担个人责任；</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对评标过程和结果，以及供应商的商业秘密保密；</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参与评标报告的起草；</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配合财政部门的投诉处理工作；</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配合采购人答复投标供应商提出的质疑。</w:t>
      </w:r>
    </w:p>
    <w:p>
      <w:pPr>
        <w:numPr>
          <w:ilvl w:val="1"/>
          <w:numId w:val="12"/>
        </w:numPr>
        <w:tabs>
          <w:tab w:val="left" w:pos="709"/>
          <w:tab w:val="left" w:pos="993"/>
          <w:tab w:val="clear" w:pos="3402"/>
        </w:tabs>
        <w:autoSpaceDE w:val="0"/>
        <w:autoSpaceDN w:val="0"/>
        <w:adjustRightInd w:val="0"/>
        <w:spacing w:line="360" w:lineRule="auto"/>
        <w:ind w:left="573" w:leftChars="135" w:hanging="290" w:hangingChars="121"/>
        <w:rPr>
          <w:rFonts w:ascii="宋体" w:hAnsi="宋体" w:cs="Arial"/>
          <w:sz w:val="24"/>
          <w:szCs w:val="28"/>
          <w:lang w:val="zh-CN"/>
        </w:rPr>
      </w:pPr>
      <w:r>
        <w:rPr>
          <w:rFonts w:hint="eastAsia" w:ascii="宋体" w:hAnsi="宋体" w:cs="Arial"/>
          <w:sz w:val="24"/>
          <w:szCs w:val="28"/>
          <w:lang w:val="zh-CN"/>
        </w:rPr>
        <w:t>关于评标方案</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评标委员会应当按照招标文件确定的评标标准和方法，对投标文件进行评审和比较；设有标底的，应当参考标底。</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评委应认真阅读并确认已经正确理解了评标方案；</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评委如对评标方案有异议，应在评标开始前提出。</w:t>
      </w:r>
    </w:p>
    <w:p>
      <w:pPr>
        <w:numPr>
          <w:ilvl w:val="1"/>
          <w:numId w:val="12"/>
        </w:numPr>
        <w:tabs>
          <w:tab w:val="left" w:pos="709"/>
          <w:tab w:val="left" w:pos="993"/>
          <w:tab w:val="clear" w:pos="3402"/>
        </w:tabs>
        <w:autoSpaceDE w:val="0"/>
        <w:autoSpaceDN w:val="0"/>
        <w:adjustRightInd w:val="0"/>
        <w:spacing w:line="360" w:lineRule="auto"/>
        <w:ind w:left="573" w:leftChars="135" w:hanging="290" w:hangingChars="121"/>
        <w:rPr>
          <w:rFonts w:ascii="宋体" w:hAnsi="宋体" w:cs="Arial"/>
          <w:sz w:val="24"/>
          <w:szCs w:val="28"/>
          <w:lang w:val="zh-CN"/>
        </w:rPr>
      </w:pPr>
      <w:r>
        <w:rPr>
          <w:rFonts w:hint="eastAsia" w:ascii="宋体" w:hAnsi="宋体" w:cs="Arial"/>
          <w:sz w:val="24"/>
          <w:szCs w:val="28"/>
          <w:lang w:val="zh-CN"/>
        </w:rPr>
        <w:t>关于评标</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采购人负责主持整个评标工作的进度，评标由采购人依法组建的评标委员会负责；</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评标委员会成员应当客观、公正地履行职务，遵守职业道德，对所提出的评审意见承担个人责任。</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评标委员会可以要求投标人对投标文件中含义不明确的内容作必要的澄清或者说明，但是澄清或者说明不得超出投标文件的范围或者改变投标文件的实质性内容。</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评标委员会完成评标后，应当向采购人提出书面评标报告，并推荐合格的中标候选人。</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国务院对特定招标项目的评标有特别规定的，从其规定。</w:t>
      </w:r>
    </w:p>
    <w:p>
      <w:pPr>
        <w:numPr>
          <w:ilvl w:val="1"/>
          <w:numId w:val="12"/>
        </w:numPr>
        <w:tabs>
          <w:tab w:val="left" w:pos="709"/>
          <w:tab w:val="left" w:pos="993"/>
          <w:tab w:val="clear" w:pos="3402"/>
        </w:tabs>
        <w:autoSpaceDE w:val="0"/>
        <w:autoSpaceDN w:val="0"/>
        <w:adjustRightInd w:val="0"/>
        <w:spacing w:line="360" w:lineRule="auto"/>
        <w:ind w:left="573" w:leftChars="135" w:hanging="290" w:hangingChars="121"/>
        <w:rPr>
          <w:rFonts w:ascii="宋体" w:hAnsi="宋体" w:cs="Arial"/>
          <w:sz w:val="24"/>
          <w:szCs w:val="28"/>
          <w:lang w:val="zh-CN"/>
        </w:rPr>
      </w:pPr>
      <w:r>
        <w:rPr>
          <w:rFonts w:hint="eastAsia" w:ascii="宋体" w:hAnsi="宋体" w:cs="Arial"/>
          <w:sz w:val="24"/>
          <w:szCs w:val="28"/>
          <w:lang w:val="zh-CN"/>
        </w:rPr>
        <w:t>关于纪律和守则</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采购人应当采取必要的措施，保证评标在严格保密的情况下进行。</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任何单位和个人不得非法干预、影响评标的过程和结果。</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评委不得试图影响其他评委的评价意见。</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每个评委应本着客观、公正的原则独立给出评价意见，评委之间不得相互串通进行评分；</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评标委员会成员不得私下接触投标人，不得收受投标人的财物或者其他好处。</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 xml:space="preserve">评标委员会成员和参与评标的有关工作人员不得透露对投标文件的评审和比较、中标候选人的推荐情况以及与评标有关的其他情况。 </w:t>
      </w:r>
    </w:p>
    <w:p>
      <w:pPr>
        <w:numPr>
          <w:ilvl w:val="1"/>
          <w:numId w:val="12"/>
        </w:numPr>
        <w:tabs>
          <w:tab w:val="left" w:pos="709"/>
          <w:tab w:val="left" w:pos="993"/>
          <w:tab w:val="clear" w:pos="3402"/>
        </w:tabs>
        <w:autoSpaceDE w:val="0"/>
        <w:autoSpaceDN w:val="0"/>
        <w:adjustRightInd w:val="0"/>
        <w:spacing w:line="360" w:lineRule="auto"/>
        <w:ind w:left="573" w:leftChars="135" w:hanging="290" w:hangingChars="121"/>
        <w:rPr>
          <w:rFonts w:ascii="宋体" w:hAnsi="宋体" w:cs="Arial"/>
          <w:sz w:val="24"/>
          <w:szCs w:val="28"/>
          <w:lang w:val="zh-CN"/>
        </w:rPr>
      </w:pPr>
      <w:r>
        <w:rPr>
          <w:rFonts w:hint="eastAsia" w:ascii="宋体" w:hAnsi="宋体" w:cs="Arial"/>
          <w:sz w:val="24"/>
          <w:szCs w:val="28"/>
          <w:lang w:val="zh-CN"/>
        </w:rPr>
        <w:t>关于评标责任</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评委应在其书面评审意见上签字确认；</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lang w:val="zh-CN"/>
        </w:rPr>
      </w:pPr>
      <w:r>
        <w:rPr>
          <w:rFonts w:hint="eastAsia" w:ascii="宋体" w:hAnsi="宋体" w:cs="Arial"/>
          <w:sz w:val="24"/>
          <w:szCs w:val="28"/>
          <w:lang w:val="zh-CN"/>
        </w:rPr>
        <w:t>评委对其所提出的评审意见承担个人责任。</w:t>
      </w:r>
    </w:p>
    <w:p>
      <w:pPr>
        <w:numPr>
          <w:ilvl w:val="0"/>
          <w:numId w:val="12"/>
        </w:numPr>
        <w:tabs>
          <w:tab w:val="left" w:pos="284"/>
          <w:tab w:val="clear" w:pos="3260"/>
        </w:tabs>
        <w:spacing w:line="360" w:lineRule="auto"/>
        <w:ind w:left="425"/>
        <w:rPr>
          <w:rFonts w:ascii="宋体" w:hAnsi="宋体" w:cs="Arial"/>
          <w:b/>
          <w:sz w:val="24"/>
          <w:szCs w:val="28"/>
        </w:rPr>
      </w:pPr>
      <w:r>
        <w:rPr>
          <w:rFonts w:hint="eastAsia" w:ascii="宋体" w:hAnsi="宋体" w:cs="Arial"/>
          <w:b/>
          <w:sz w:val="24"/>
          <w:szCs w:val="28"/>
        </w:rPr>
        <w:t>评标流程</w:t>
      </w:r>
    </w:p>
    <w:p>
      <w:pPr>
        <w:numPr>
          <w:ilvl w:val="1"/>
          <w:numId w:val="12"/>
        </w:numPr>
        <w:tabs>
          <w:tab w:val="left" w:pos="927"/>
          <w:tab w:val="clear" w:pos="3402"/>
        </w:tabs>
        <w:spacing w:line="360" w:lineRule="auto"/>
        <w:ind w:left="927"/>
        <w:rPr>
          <w:rFonts w:ascii="宋体" w:hAnsi="宋体" w:cs="Arial"/>
          <w:b/>
          <w:sz w:val="24"/>
          <w:szCs w:val="28"/>
        </w:rPr>
      </w:pPr>
      <w:r>
        <w:rPr>
          <w:rFonts w:hint="eastAsia" w:ascii="宋体" w:hAnsi="宋体" w:cs="Arial"/>
          <w:sz w:val="24"/>
          <w:szCs w:val="28"/>
        </w:rPr>
        <w:t>投标文件实质性响应检查</w:t>
      </w:r>
    </w:p>
    <w:p>
      <w:pPr>
        <w:numPr>
          <w:ilvl w:val="1"/>
          <w:numId w:val="12"/>
        </w:numPr>
        <w:tabs>
          <w:tab w:val="left" w:pos="927"/>
          <w:tab w:val="clear" w:pos="3402"/>
        </w:tabs>
        <w:spacing w:line="360" w:lineRule="auto"/>
        <w:ind w:left="927"/>
        <w:rPr>
          <w:rFonts w:ascii="宋体" w:hAnsi="宋体" w:cs="Arial"/>
          <w:b/>
          <w:sz w:val="24"/>
          <w:szCs w:val="28"/>
        </w:rPr>
      </w:pPr>
      <w:r>
        <w:rPr>
          <w:rFonts w:hint="eastAsia" w:ascii="宋体" w:hAnsi="宋体" w:cs="Arial"/>
          <w:sz w:val="24"/>
          <w:szCs w:val="28"/>
        </w:rPr>
        <w:t>技术部分响应性评定</w:t>
      </w:r>
    </w:p>
    <w:p>
      <w:pPr>
        <w:numPr>
          <w:ilvl w:val="1"/>
          <w:numId w:val="12"/>
        </w:numPr>
        <w:tabs>
          <w:tab w:val="left" w:pos="927"/>
          <w:tab w:val="clear" w:pos="3402"/>
        </w:tabs>
        <w:spacing w:line="360" w:lineRule="auto"/>
        <w:ind w:left="927"/>
        <w:rPr>
          <w:rFonts w:ascii="宋体" w:hAnsi="宋体" w:cs="Arial"/>
          <w:b/>
          <w:sz w:val="24"/>
          <w:szCs w:val="28"/>
        </w:rPr>
      </w:pPr>
      <w:r>
        <w:rPr>
          <w:rFonts w:hint="eastAsia" w:ascii="宋体" w:hAnsi="宋体" w:cs="Arial"/>
          <w:sz w:val="24"/>
          <w:szCs w:val="28"/>
        </w:rPr>
        <w:t>商务部分响应性评定</w:t>
      </w:r>
    </w:p>
    <w:p>
      <w:pPr>
        <w:numPr>
          <w:ilvl w:val="1"/>
          <w:numId w:val="12"/>
        </w:numPr>
        <w:tabs>
          <w:tab w:val="left" w:pos="927"/>
          <w:tab w:val="clear" w:pos="3402"/>
        </w:tabs>
        <w:spacing w:line="360" w:lineRule="auto"/>
        <w:ind w:left="927"/>
        <w:rPr>
          <w:rFonts w:ascii="宋体" w:hAnsi="宋体" w:cs="Arial"/>
          <w:b/>
          <w:sz w:val="24"/>
          <w:szCs w:val="28"/>
        </w:rPr>
      </w:pPr>
      <w:r>
        <w:rPr>
          <w:rFonts w:hint="eastAsia" w:ascii="宋体" w:hAnsi="宋体" w:cs="Arial"/>
          <w:sz w:val="24"/>
          <w:szCs w:val="28"/>
        </w:rPr>
        <w:t>报价响应性评定</w:t>
      </w:r>
    </w:p>
    <w:p>
      <w:pPr>
        <w:numPr>
          <w:ilvl w:val="1"/>
          <w:numId w:val="12"/>
        </w:numPr>
        <w:tabs>
          <w:tab w:val="left" w:pos="927"/>
          <w:tab w:val="clear" w:pos="3402"/>
        </w:tabs>
        <w:spacing w:line="360" w:lineRule="auto"/>
        <w:ind w:left="927"/>
        <w:rPr>
          <w:rFonts w:ascii="宋体" w:hAnsi="宋体" w:cs="Arial"/>
          <w:b/>
          <w:sz w:val="24"/>
          <w:szCs w:val="28"/>
        </w:rPr>
      </w:pPr>
      <w:bookmarkStart w:id="105" w:name="JudgeBidwfDesc"/>
      <w:bookmarkEnd w:id="105"/>
      <w:r>
        <w:rPr>
          <w:rFonts w:hint="eastAsia" w:ascii="宋体" w:hAnsi="宋体" w:cs="Arial"/>
          <w:sz w:val="24"/>
          <w:szCs w:val="28"/>
        </w:rPr>
        <w:t>综合评估分的计算和排序</w:t>
      </w:r>
    </w:p>
    <w:p>
      <w:pPr>
        <w:numPr>
          <w:ilvl w:val="0"/>
          <w:numId w:val="12"/>
        </w:numPr>
        <w:tabs>
          <w:tab w:val="left" w:pos="284"/>
          <w:tab w:val="clear" w:pos="3260"/>
        </w:tabs>
        <w:spacing w:line="360" w:lineRule="auto"/>
        <w:ind w:left="425"/>
        <w:rPr>
          <w:rFonts w:ascii="宋体" w:hAnsi="宋体" w:cs="Arial"/>
          <w:b/>
          <w:sz w:val="24"/>
          <w:szCs w:val="28"/>
        </w:rPr>
      </w:pPr>
      <w:r>
        <w:rPr>
          <w:rFonts w:hint="eastAsia" w:ascii="宋体" w:hAnsi="宋体" w:cs="Arial"/>
          <w:b/>
          <w:sz w:val="24"/>
          <w:szCs w:val="28"/>
        </w:rPr>
        <w:t>评标方案</w:t>
      </w:r>
    </w:p>
    <w:p>
      <w:pPr>
        <w:numPr>
          <w:ilvl w:val="1"/>
          <w:numId w:val="12"/>
        </w:numPr>
        <w:tabs>
          <w:tab w:val="left" w:pos="927"/>
          <w:tab w:val="clear" w:pos="3402"/>
        </w:tabs>
        <w:spacing w:line="360" w:lineRule="auto"/>
        <w:ind w:left="927"/>
        <w:rPr>
          <w:rFonts w:ascii="宋体" w:hAnsi="宋体" w:cs="Arial"/>
          <w:sz w:val="24"/>
          <w:szCs w:val="28"/>
        </w:rPr>
      </w:pPr>
      <w:r>
        <w:rPr>
          <w:rFonts w:hint="eastAsia" w:ascii="宋体" w:hAnsi="宋体" w:cs="Arial"/>
          <w:b/>
          <w:sz w:val="24"/>
          <w:szCs w:val="28"/>
        </w:rPr>
        <w:t>中标依据</w:t>
      </w:r>
      <w:r>
        <w:rPr>
          <w:rFonts w:hint="eastAsia" w:ascii="宋体" w:hAnsi="宋体" w:cs="Arial"/>
          <w:sz w:val="24"/>
          <w:szCs w:val="28"/>
        </w:rPr>
        <w:t>：在不高于最高限价的前提下，综合评估分最高的为中标候选人。</w:t>
      </w:r>
    </w:p>
    <w:p>
      <w:pPr>
        <w:numPr>
          <w:ilvl w:val="1"/>
          <w:numId w:val="12"/>
        </w:numPr>
        <w:tabs>
          <w:tab w:val="left" w:pos="927"/>
          <w:tab w:val="clear" w:pos="3402"/>
        </w:tabs>
        <w:spacing w:line="360" w:lineRule="auto"/>
        <w:ind w:left="927"/>
        <w:rPr>
          <w:rFonts w:ascii="宋体" w:hAnsi="宋体" w:cs="Arial"/>
          <w:b/>
          <w:sz w:val="24"/>
          <w:szCs w:val="28"/>
        </w:rPr>
      </w:pPr>
      <w:r>
        <w:rPr>
          <w:rFonts w:hint="eastAsia" w:ascii="宋体" w:hAnsi="宋体" w:cs="Arial"/>
          <w:b/>
          <w:sz w:val="24"/>
          <w:szCs w:val="28"/>
        </w:rPr>
        <w:t>投标文件实质性响应检查</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b/>
          <w:sz w:val="24"/>
          <w:szCs w:val="28"/>
        </w:rPr>
      </w:pPr>
      <w:r>
        <w:rPr>
          <w:rFonts w:hint="eastAsia" w:ascii="宋体" w:hAnsi="宋体" w:cs="Arial"/>
          <w:sz w:val="24"/>
          <w:szCs w:val="28"/>
        </w:rPr>
        <w:t>评标委员会在评标过程中共同就每一投标文件技术部分和商务部分分别审查，并逐项列出投标文件的全部投标偏差。投标偏差分为重大偏差和细微偏差。</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rPr>
      </w:pPr>
      <w:r>
        <w:rPr>
          <w:rFonts w:hint="eastAsia" w:ascii="宋体" w:hAnsi="宋体" w:cs="Arial"/>
          <w:sz w:val="24"/>
          <w:szCs w:val="28"/>
        </w:rPr>
        <w:t>下列情况属于重大偏差，投标文件有下述情形之一的，属于未能在实质上响应招标文件的投标，应作投标无效处理：</w:t>
      </w:r>
    </w:p>
    <w:p>
      <w:pPr>
        <w:spacing w:line="360" w:lineRule="auto"/>
        <w:ind w:left="718" w:leftChars="342"/>
        <w:rPr>
          <w:rFonts w:ascii="宋体" w:hAnsi="宋体" w:cs="Arial"/>
          <w:sz w:val="24"/>
          <w:szCs w:val="28"/>
        </w:rPr>
      </w:pPr>
      <w:r>
        <w:rPr>
          <w:rFonts w:hint="eastAsia" w:ascii="宋体" w:hAnsi="宋体" w:cs="Arial"/>
          <w:sz w:val="24"/>
          <w:szCs w:val="28"/>
        </w:rPr>
        <w:t>（一）投标文件没有加盖投标人公章；</w:t>
      </w:r>
    </w:p>
    <w:p>
      <w:pPr>
        <w:spacing w:line="360" w:lineRule="auto"/>
        <w:ind w:left="718" w:leftChars="342"/>
        <w:rPr>
          <w:rFonts w:ascii="宋体" w:hAnsi="宋体" w:cs="Arial"/>
          <w:sz w:val="24"/>
          <w:szCs w:val="28"/>
        </w:rPr>
      </w:pPr>
      <w:r>
        <w:rPr>
          <w:rFonts w:hint="eastAsia" w:ascii="宋体" w:hAnsi="宋体" w:cs="Arial"/>
          <w:sz w:val="24"/>
          <w:szCs w:val="28"/>
        </w:rPr>
        <w:t>（二）投标文件载明的招标项目完成期限超过招标文件规定的期限；</w:t>
      </w:r>
    </w:p>
    <w:p>
      <w:pPr>
        <w:spacing w:line="360" w:lineRule="auto"/>
        <w:ind w:left="718" w:leftChars="342"/>
        <w:rPr>
          <w:rFonts w:ascii="宋体" w:hAnsi="宋体" w:cs="Arial"/>
          <w:sz w:val="24"/>
          <w:szCs w:val="28"/>
        </w:rPr>
      </w:pPr>
      <w:r>
        <w:rPr>
          <w:rFonts w:hint="eastAsia" w:ascii="宋体" w:hAnsi="宋体" w:cs="Arial"/>
          <w:sz w:val="24"/>
          <w:szCs w:val="28"/>
        </w:rPr>
        <w:t>（三）明显不符合技术规格、技术标准的要求；</w:t>
      </w:r>
    </w:p>
    <w:p>
      <w:pPr>
        <w:spacing w:line="360" w:lineRule="auto"/>
        <w:ind w:left="718" w:leftChars="342"/>
        <w:rPr>
          <w:rFonts w:ascii="宋体" w:hAnsi="宋体" w:cs="Arial"/>
          <w:sz w:val="24"/>
          <w:szCs w:val="28"/>
        </w:rPr>
      </w:pPr>
      <w:r>
        <w:rPr>
          <w:rFonts w:hint="eastAsia" w:ascii="宋体" w:hAnsi="宋体" w:cs="Arial"/>
          <w:sz w:val="24"/>
          <w:szCs w:val="28"/>
        </w:rPr>
        <w:t>（四）投标文件载明的货物包装方式、检验标准和方法等不符合招标文件的要求；</w:t>
      </w:r>
    </w:p>
    <w:p>
      <w:pPr>
        <w:spacing w:line="360" w:lineRule="auto"/>
        <w:ind w:left="718" w:leftChars="342"/>
        <w:rPr>
          <w:rFonts w:ascii="宋体" w:hAnsi="宋体" w:cs="Arial"/>
          <w:sz w:val="24"/>
          <w:szCs w:val="28"/>
        </w:rPr>
      </w:pPr>
      <w:r>
        <w:rPr>
          <w:rFonts w:hint="eastAsia" w:ascii="宋体" w:hAnsi="宋体" w:cs="Arial"/>
          <w:sz w:val="24"/>
          <w:szCs w:val="28"/>
        </w:rPr>
        <w:t>（五）不符合招标文件中规定的其他实质性要求。</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rPr>
      </w:pPr>
      <w:r>
        <w:rPr>
          <w:rFonts w:hint="eastAsia" w:ascii="宋体" w:hAnsi="宋体" w:cs="Arial"/>
          <w:sz w:val="24"/>
          <w:szCs w:val="28"/>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评标委员会应当书面要求存在细微偏差的投标人在评标结束前予以补正。拒不补正的，在详细评审时可以对细微偏差作不利于该投标人的评分。</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rPr>
      </w:pPr>
      <w:r>
        <w:rPr>
          <w:rFonts w:hint="eastAsia" w:ascii="宋体" w:hAnsi="宋体" w:cs="Arial"/>
          <w:sz w:val="24"/>
          <w:szCs w:val="28"/>
        </w:rPr>
        <w:t>由评委对所有投标文件进行实质性响应性检查，未能全部进行实质性响应的投标文件作投标无效处理；</w:t>
      </w:r>
    </w:p>
    <w:p>
      <w:pPr>
        <w:numPr>
          <w:ilvl w:val="1"/>
          <w:numId w:val="12"/>
        </w:numPr>
        <w:tabs>
          <w:tab w:val="left" w:pos="927"/>
          <w:tab w:val="clear" w:pos="3402"/>
        </w:tabs>
        <w:spacing w:line="360" w:lineRule="auto"/>
        <w:ind w:left="927"/>
        <w:rPr>
          <w:rFonts w:ascii="宋体" w:hAnsi="宋体" w:cs="Arial"/>
          <w:b/>
          <w:sz w:val="24"/>
          <w:szCs w:val="28"/>
        </w:rPr>
      </w:pPr>
      <w:r>
        <w:rPr>
          <w:rFonts w:hint="eastAsia" w:ascii="宋体" w:hAnsi="宋体" w:cs="Arial"/>
          <w:b/>
          <w:sz w:val="24"/>
          <w:szCs w:val="28"/>
        </w:rPr>
        <w:t>技术部分响应性评定</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rPr>
      </w:pPr>
      <w:r>
        <w:rPr>
          <w:rFonts w:hint="eastAsia" w:ascii="宋体" w:hAnsi="宋体" w:cs="Arial"/>
          <w:sz w:val="24"/>
          <w:szCs w:val="28"/>
        </w:rPr>
        <w:t>由评标委员会对所有投标文件的技术部分的响应进行审核和分析；</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rPr>
      </w:pPr>
      <w:r>
        <w:rPr>
          <w:rFonts w:hint="eastAsia" w:ascii="宋体" w:hAnsi="宋体" w:cs="Arial"/>
          <w:sz w:val="24"/>
          <w:szCs w:val="28"/>
        </w:rPr>
        <w:t>评委独立进行文字评价和评分，填写“技术部分响应评分表”，并给出相应的文字评价；</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rPr>
      </w:pPr>
      <w:r>
        <w:rPr>
          <w:rFonts w:hint="eastAsia" w:ascii="宋体" w:hAnsi="宋体" w:cs="Arial"/>
          <w:sz w:val="24"/>
          <w:szCs w:val="28"/>
        </w:rPr>
        <w:t>评分标准：按照单项分值，按各单项评分说明计算；</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rPr>
      </w:pPr>
      <w:r>
        <w:rPr>
          <w:rFonts w:hint="eastAsia" w:ascii="宋体" w:hAnsi="宋体" w:cs="Arial"/>
          <w:sz w:val="24"/>
          <w:szCs w:val="28"/>
        </w:rPr>
        <w:t>将每一个评委的评分汇集</w:t>
      </w:r>
      <w:bookmarkStart w:id="106" w:name="TechnicIsMidAvg"/>
      <w:r>
        <w:rPr>
          <w:rFonts w:hint="eastAsia" w:ascii="宋体" w:hAnsi="宋体" w:cs="Arial"/>
          <w:sz w:val="24"/>
          <w:szCs w:val="28"/>
        </w:rPr>
        <w:t>后</w:t>
      </w:r>
      <w:bookmarkEnd w:id="106"/>
      <w:r>
        <w:rPr>
          <w:rFonts w:hint="eastAsia" w:ascii="宋体" w:hAnsi="宋体" w:cs="Arial"/>
          <w:sz w:val="24"/>
          <w:szCs w:val="28"/>
        </w:rPr>
        <w:t>进行算术平均（精确到小数点后两位），得出该投标人的技术得分。</w:t>
      </w:r>
    </w:p>
    <w:p>
      <w:pPr>
        <w:numPr>
          <w:ilvl w:val="1"/>
          <w:numId w:val="12"/>
        </w:numPr>
        <w:tabs>
          <w:tab w:val="left" w:pos="927"/>
          <w:tab w:val="clear" w:pos="3402"/>
        </w:tabs>
        <w:spacing w:line="360" w:lineRule="auto"/>
        <w:ind w:left="927"/>
        <w:rPr>
          <w:rFonts w:ascii="宋体" w:hAnsi="宋体" w:cs="Arial"/>
          <w:b/>
          <w:sz w:val="24"/>
          <w:szCs w:val="28"/>
        </w:rPr>
      </w:pPr>
      <w:r>
        <w:rPr>
          <w:rFonts w:hint="eastAsia" w:ascii="宋体" w:hAnsi="宋体" w:cs="Arial"/>
          <w:b/>
          <w:sz w:val="24"/>
          <w:szCs w:val="28"/>
        </w:rPr>
        <w:t>商务部分响应性评估</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rPr>
      </w:pPr>
      <w:r>
        <w:rPr>
          <w:rFonts w:hint="eastAsia" w:ascii="宋体" w:hAnsi="宋体" w:cs="Arial"/>
          <w:sz w:val="24"/>
          <w:szCs w:val="28"/>
        </w:rPr>
        <w:t>由评标委员会对所有投标文件的商务部分的响应进行审核和分析；</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rPr>
      </w:pPr>
      <w:r>
        <w:rPr>
          <w:rFonts w:hint="eastAsia" w:ascii="宋体" w:hAnsi="宋体" w:cs="Arial"/>
          <w:sz w:val="24"/>
          <w:szCs w:val="28"/>
        </w:rPr>
        <w:t>评委独立进行文字评价和评分，填写“商务部分响应评分表”；</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rPr>
      </w:pPr>
      <w:r>
        <w:rPr>
          <w:rFonts w:hint="eastAsia" w:ascii="宋体" w:hAnsi="宋体" w:cs="Arial"/>
          <w:sz w:val="24"/>
          <w:szCs w:val="28"/>
        </w:rPr>
        <w:t>评分标准：按照单项分值，按各单项评分说明计算；</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rPr>
      </w:pPr>
      <w:r>
        <w:rPr>
          <w:rFonts w:hint="eastAsia" w:ascii="宋体" w:hAnsi="宋体" w:cs="Arial"/>
          <w:sz w:val="24"/>
          <w:szCs w:val="28"/>
        </w:rPr>
        <w:t>将每一个评委的评分汇集</w:t>
      </w:r>
      <w:bookmarkStart w:id="107" w:name="BusinessIsMidAvg"/>
      <w:r>
        <w:rPr>
          <w:rFonts w:hint="eastAsia" w:ascii="宋体" w:hAnsi="宋体" w:cs="Arial"/>
          <w:sz w:val="24"/>
          <w:szCs w:val="28"/>
        </w:rPr>
        <w:t>后</w:t>
      </w:r>
      <w:bookmarkEnd w:id="107"/>
      <w:r>
        <w:rPr>
          <w:rFonts w:hint="eastAsia" w:ascii="宋体" w:hAnsi="宋体" w:cs="Arial"/>
          <w:sz w:val="24"/>
          <w:szCs w:val="28"/>
        </w:rPr>
        <w:t>进行算术平均（精确到小数点后两位），得出该投标人的商务得分。</w:t>
      </w:r>
    </w:p>
    <w:p>
      <w:pPr>
        <w:numPr>
          <w:ilvl w:val="1"/>
          <w:numId w:val="12"/>
        </w:numPr>
        <w:tabs>
          <w:tab w:val="left" w:pos="927"/>
          <w:tab w:val="clear" w:pos="3402"/>
        </w:tabs>
        <w:spacing w:line="360" w:lineRule="auto"/>
        <w:ind w:left="927"/>
        <w:rPr>
          <w:rFonts w:ascii="宋体" w:hAnsi="宋体" w:cs="Arial"/>
          <w:b/>
          <w:sz w:val="24"/>
          <w:szCs w:val="28"/>
        </w:rPr>
      </w:pPr>
      <w:r>
        <w:rPr>
          <w:rFonts w:hint="eastAsia" w:ascii="宋体" w:hAnsi="宋体" w:cs="Arial"/>
          <w:b/>
          <w:sz w:val="24"/>
          <w:szCs w:val="28"/>
        </w:rPr>
        <w:t>价格响应性评估</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rPr>
      </w:pPr>
      <w:bookmarkStart w:id="108" w:name="_Toc484848556"/>
      <w:bookmarkStart w:id="109" w:name="_Toc484827211"/>
      <w:bookmarkStart w:id="110" w:name="_Toc506611813"/>
      <w:bookmarkStart w:id="111" w:name="_Toc490832204"/>
      <w:bookmarkStart w:id="112" w:name="_Toc517502636"/>
      <w:bookmarkStart w:id="113" w:name="_Toc506628556"/>
      <w:bookmarkStart w:id="114" w:name="_Toc494875414"/>
      <w:bookmarkStart w:id="115" w:name="_Toc494597779"/>
      <w:bookmarkStart w:id="116" w:name="_Toc506611605"/>
      <w:r>
        <w:rPr>
          <w:rFonts w:hint="eastAsia" w:ascii="宋体" w:hAnsi="宋体" w:cs="Arial"/>
          <w:sz w:val="24"/>
          <w:szCs w:val="28"/>
        </w:rPr>
        <w:t>由评标委员会对所有投标文件的价格部分的响应进行审核和分析。</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rPr>
      </w:pPr>
      <w:bookmarkStart w:id="117" w:name="PriceRuleDesc"/>
      <w:bookmarkStart w:id="118" w:name="PriceLastNumber"/>
      <w:r>
        <w:rPr>
          <w:rFonts w:hint="eastAsia" w:ascii="宋体" w:hAnsi="宋体" w:cs="Arial"/>
          <w:sz w:val="24"/>
          <w:szCs w:val="28"/>
        </w:rPr>
        <w:t>基准价格分：以有效投标人报价中价格最低的投标报价为基准价，定其基准价格分为</w:t>
      </w:r>
      <w:r>
        <w:rPr>
          <w:rFonts w:ascii="宋体" w:hAnsi="宋体" w:cs="Arial"/>
          <w:sz w:val="24"/>
          <w:szCs w:val="28"/>
        </w:rPr>
        <w:t>10</w:t>
      </w:r>
      <w:r>
        <w:rPr>
          <w:rFonts w:hint="eastAsia" w:ascii="宋体" w:hAnsi="宋体" w:cs="Arial"/>
          <w:sz w:val="24"/>
          <w:szCs w:val="28"/>
        </w:rPr>
        <w:t>分。</w:t>
      </w:r>
    </w:p>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rPr>
      </w:pPr>
      <w:r>
        <w:rPr>
          <w:rFonts w:hint="eastAsia" w:ascii="宋体" w:hAnsi="宋体" w:cs="Arial"/>
          <w:sz w:val="24"/>
          <w:szCs w:val="28"/>
        </w:rPr>
        <w:t>投标人的价格得分=（评标基准价/投标人报价）×</w:t>
      </w:r>
      <w:r>
        <w:rPr>
          <w:rFonts w:ascii="宋体" w:hAnsi="宋体" w:cs="Arial"/>
          <w:sz w:val="24"/>
          <w:szCs w:val="28"/>
        </w:rPr>
        <w:t>1</w:t>
      </w:r>
      <w:r>
        <w:rPr>
          <w:rFonts w:hint="eastAsia" w:ascii="宋体" w:hAnsi="宋体" w:cs="Arial"/>
          <w:sz w:val="24"/>
          <w:szCs w:val="28"/>
        </w:rPr>
        <w:t>0（精确到小数点后两位）分。由此算出每个投标人的“价格得分”。</w:t>
      </w:r>
    </w:p>
    <w:bookmarkEnd w:id="117"/>
    <w:bookmarkEnd w:id="118"/>
    <w:p>
      <w:pPr>
        <w:numPr>
          <w:ilvl w:val="2"/>
          <w:numId w:val="12"/>
        </w:numPr>
        <w:tabs>
          <w:tab w:val="left" w:pos="993"/>
          <w:tab w:val="clear" w:pos="3544"/>
        </w:tabs>
        <w:autoSpaceDE w:val="0"/>
        <w:autoSpaceDN w:val="0"/>
        <w:adjustRightInd w:val="0"/>
        <w:spacing w:line="360" w:lineRule="auto"/>
        <w:ind w:left="939" w:leftChars="268" w:hanging="376" w:hangingChars="157"/>
        <w:rPr>
          <w:rFonts w:ascii="宋体" w:hAnsi="宋体" w:cs="Arial"/>
          <w:sz w:val="24"/>
          <w:szCs w:val="28"/>
        </w:rPr>
      </w:pPr>
      <w:r>
        <w:rPr>
          <w:rFonts w:hint="eastAsia" w:ascii="宋体" w:hAnsi="宋体" w:cs="Arial"/>
          <w:sz w:val="24"/>
          <w:szCs w:val="28"/>
        </w:rPr>
        <w:t>评委检查每个投标人的价格评分计算情况，确认“价格得分”。</w:t>
      </w:r>
    </w:p>
    <w:p>
      <w:pPr>
        <w:numPr>
          <w:ilvl w:val="1"/>
          <w:numId w:val="12"/>
        </w:numPr>
        <w:tabs>
          <w:tab w:val="left" w:pos="927"/>
          <w:tab w:val="clear" w:pos="3402"/>
        </w:tabs>
        <w:spacing w:line="360" w:lineRule="auto"/>
        <w:ind w:left="927"/>
        <w:rPr>
          <w:rFonts w:ascii="宋体" w:hAnsi="宋体" w:cs="Arial"/>
          <w:b/>
          <w:sz w:val="24"/>
          <w:szCs w:val="28"/>
          <w:lang w:val="zh-CN"/>
        </w:rPr>
      </w:pPr>
      <w:bookmarkStart w:id="119" w:name="IsHasSample2"/>
      <w:bookmarkEnd w:id="119"/>
      <w:bookmarkStart w:id="120" w:name="NotRequestDemoOrRequestInstantReply"/>
      <w:bookmarkEnd w:id="120"/>
      <w:r>
        <w:rPr>
          <w:rFonts w:hint="eastAsia" w:ascii="宋体" w:hAnsi="宋体" w:cs="Arial"/>
          <w:b/>
          <w:sz w:val="24"/>
          <w:szCs w:val="28"/>
          <w:lang w:val="zh-CN"/>
        </w:rPr>
        <w:t>综合评估分的计算和排序</w:t>
      </w:r>
    </w:p>
    <w:p>
      <w:pPr>
        <w:numPr>
          <w:ilvl w:val="2"/>
          <w:numId w:val="12"/>
        </w:numPr>
        <w:tabs>
          <w:tab w:val="left" w:pos="709"/>
          <w:tab w:val="clear" w:pos="3544"/>
        </w:tabs>
        <w:spacing w:line="360" w:lineRule="auto"/>
        <w:ind w:left="709" w:hanging="142"/>
        <w:rPr>
          <w:rFonts w:ascii="宋体" w:hAnsi="宋体" w:cs="Arial"/>
          <w:b/>
          <w:sz w:val="24"/>
          <w:szCs w:val="28"/>
          <w:lang w:val="zh-CN"/>
        </w:rPr>
      </w:pPr>
      <w:r>
        <w:rPr>
          <w:rFonts w:hint="eastAsia" w:ascii="宋体" w:hAnsi="宋体" w:cs="Arial"/>
          <w:sz w:val="24"/>
          <w:szCs w:val="28"/>
        </w:rPr>
        <w:t>综合评估分中各评估因素所占权重（见下表）</w:t>
      </w:r>
    </w:p>
    <w:tbl>
      <w:tblPr>
        <w:tblStyle w:val="27"/>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Arial"/>
                <w:b/>
                <w:bCs/>
                <w:sz w:val="24"/>
                <w:szCs w:val="28"/>
              </w:rPr>
            </w:pPr>
            <w:bookmarkStart w:id="121" w:name="SubDocScoreRule"/>
            <w:r>
              <w:rPr>
                <w:rFonts w:hint="eastAsia" w:ascii="宋体" w:hAnsi="宋体" w:cs="Arial"/>
                <w:b/>
                <w:bCs/>
                <w:sz w:val="24"/>
                <w:szCs w:val="28"/>
              </w:rPr>
              <w:t>评估因素</w:t>
            </w:r>
          </w:p>
        </w:tc>
        <w:tc>
          <w:tcPr>
            <w:tcW w:w="21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b/>
                <w:bCs/>
                <w:sz w:val="24"/>
                <w:szCs w:val="28"/>
              </w:rPr>
            </w:pPr>
            <w:r>
              <w:rPr>
                <w:rFonts w:hint="eastAsia" w:ascii="宋体" w:hAnsi="宋体" w:cs="Arial"/>
                <w:b/>
                <w:bCs/>
                <w:sz w:val="24"/>
                <w:szCs w:val="28"/>
              </w:rPr>
              <w:t>技术</w:t>
            </w:r>
          </w:p>
        </w:tc>
        <w:tc>
          <w:tcPr>
            <w:tcW w:w="21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b/>
                <w:bCs/>
                <w:sz w:val="24"/>
                <w:szCs w:val="28"/>
              </w:rPr>
            </w:pPr>
            <w:r>
              <w:rPr>
                <w:rFonts w:hint="eastAsia" w:ascii="宋体" w:hAnsi="宋体" w:cs="Arial"/>
                <w:b/>
                <w:bCs/>
                <w:sz w:val="24"/>
                <w:szCs w:val="28"/>
              </w:rPr>
              <w:t>商务</w:t>
            </w:r>
          </w:p>
        </w:tc>
        <w:tc>
          <w:tcPr>
            <w:tcW w:w="21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b/>
                <w:bCs/>
                <w:sz w:val="24"/>
                <w:szCs w:val="28"/>
              </w:rPr>
            </w:pPr>
            <w:r>
              <w:rPr>
                <w:rFonts w:hint="eastAsia" w:ascii="宋体" w:hAnsi="宋体" w:cs="Arial"/>
                <w:b/>
                <w:bCs/>
                <w:sz w:val="24"/>
                <w:szCs w:val="28"/>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13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Arial"/>
                <w:bCs/>
                <w:sz w:val="24"/>
                <w:szCs w:val="28"/>
              </w:rPr>
            </w:pPr>
            <w:r>
              <w:rPr>
                <w:rFonts w:hint="eastAsia" w:ascii="宋体" w:hAnsi="宋体" w:cs="Arial"/>
                <w:bCs/>
                <w:sz w:val="24"/>
                <w:szCs w:val="28"/>
              </w:rPr>
              <w:t>评估权重</w:t>
            </w:r>
          </w:p>
        </w:tc>
        <w:tc>
          <w:tcPr>
            <w:tcW w:w="21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Arial"/>
                <w:bCs/>
                <w:sz w:val="24"/>
                <w:szCs w:val="28"/>
                <w:lang w:val="en-US" w:eastAsia="zh-CN"/>
              </w:rPr>
            </w:pPr>
            <w:r>
              <w:rPr>
                <w:rFonts w:hint="eastAsia" w:ascii="宋体" w:hAnsi="宋体" w:cs="Arial"/>
                <w:bCs/>
                <w:sz w:val="24"/>
                <w:szCs w:val="28"/>
                <w:lang w:val="en-US" w:eastAsia="zh-CN"/>
              </w:rPr>
              <w:t>45</w:t>
            </w:r>
          </w:p>
        </w:tc>
        <w:tc>
          <w:tcPr>
            <w:tcW w:w="21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Arial"/>
                <w:bCs/>
                <w:sz w:val="24"/>
                <w:szCs w:val="28"/>
                <w:lang w:val="en-US" w:eastAsia="zh-CN"/>
              </w:rPr>
            </w:pPr>
            <w:r>
              <w:rPr>
                <w:rFonts w:hint="eastAsia" w:ascii="宋体" w:hAnsi="宋体" w:cs="Arial"/>
                <w:bCs/>
                <w:sz w:val="24"/>
                <w:szCs w:val="28"/>
                <w:lang w:val="en-US" w:eastAsia="zh-CN"/>
              </w:rPr>
              <w:t>45</w:t>
            </w:r>
          </w:p>
        </w:tc>
        <w:tc>
          <w:tcPr>
            <w:tcW w:w="21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bCs/>
                <w:sz w:val="24"/>
                <w:szCs w:val="28"/>
              </w:rPr>
            </w:pPr>
            <w:r>
              <w:rPr>
                <w:rFonts w:ascii="宋体" w:hAnsi="宋体" w:cs="Arial"/>
                <w:bCs/>
                <w:sz w:val="24"/>
                <w:szCs w:val="28"/>
              </w:rPr>
              <w:t>1</w:t>
            </w:r>
            <w:r>
              <w:rPr>
                <w:rFonts w:hint="eastAsia" w:ascii="宋体" w:hAnsi="宋体" w:cs="Arial"/>
                <w:bCs/>
                <w:sz w:val="24"/>
                <w:szCs w:val="28"/>
              </w:rPr>
              <w:t>0</w:t>
            </w:r>
          </w:p>
        </w:tc>
      </w:tr>
      <w:bookmarkEnd w:id="121"/>
    </w:tbl>
    <w:p>
      <w:pPr>
        <w:numPr>
          <w:ilvl w:val="2"/>
          <w:numId w:val="12"/>
        </w:numPr>
        <w:tabs>
          <w:tab w:val="left" w:pos="709"/>
          <w:tab w:val="clear" w:pos="3544"/>
        </w:tabs>
        <w:spacing w:line="360" w:lineRule="auto"/>
        <w:ind w:left="709" w:hanging="142"/>
        <w:rPr>
          <w:rFonts w:ascii="宋体" w:hAnsi="宋体" w:cs="Arial"/>
          <w:sz w:val="24"/>
          <w:szCs w:val="28"/>
        </w:rPr>
      </w:pPr>
      <w:r>
        <w:rPr>
          <w:rFonts w:hint="eastAsia" w:ascii="宋体" w:hAnsi="宋体" w:cs="Arial"/>
          <w:sz w:val="24"/>
          <w:szCs w:val="28"/>
        </w:rPr>
        <w:t>综合评估分</w:t>
      </w:r>
      <w:bookmarkStart w:id="122" w:name="CompositeScoreDesc"/>
      <w:r>
        <w:rPr>
          <w:rFonts w:hint="eastAsia" w:ascii="宋体" w:hAnsi="宋体" w:cs="Arial"/>
          <w:sz w:val="24"/>
          <w:szCs w:val="28"/>
        </w:rPr>
        <w:t>（精确到小数点后两位）=技术得分+商务得分+价格得分；</w:t>
      </w:r>
      <w:bookmarkEnd w:id="122"/>
    </w:p>
    <w:p>
      <w:pPr>
        <w:numPr>
          <w:ilvl w:val="2"/>
          <w:numId w:val="12"/>
        </w:numPr>
        <w:tabs>
          <w:tab w:val="left" w:pos="709"/>
          <w:tab w:val="clear" w:pos="3544"/>
        </w:tabs>
        <w:spacing w:line="360" w:lineRule="auto"/>
        <w:ind w:left="1276"/>
        <w:rPr>
          <w:rFonts w:ascii="宋体" w:hAnsi="宋体" w:cs="Arial"/>
          <w:sz w:val="24"/>
          <w:szCs w:val="28"/>
        </w:rPr>
      </w:pPr>
      <w:r>
        <w:rPr>
          <w:rFonts w:hint="eastAsia" w:ascii="宋体" w:hAnsi="宋体" w:cs="Arial"/>
          <w:sz w:val="24"/>
          <w:szCs w:val="28"/>
        </w:rPr>
        <w:t>将综合评估分从高到低排序，得分相同的，按投标报价由低到高顺序排列。得分且投标报价相同的，按技术得分高低顺序排列；</w:t>
      </w:r>
    </w:p>
    <w:p>
      <w:pPr>
        <w:numPr>
          <w:ilvl w:val="2"/>
          <w:numId w:val="12"/>
        </w:numPr>
        <w:tabs>
          <w:tab w:val="left" w:pos="1276"/>
          <w:tab w:val="clear" w:pos="3544"/>
        </w:tabs>
        <w:spacing w:line="360" w:lineRule="auto"/>
        <w:ind w:left="1276"/>
        <w:rPr>
          <w:rFonts w:ascii="宋体" w:hAnsi="宋体" w:cs="Arial"/>
          <w:sz w:val="24"/>
          <w:szCs w:val="28"/>
        </w:rPr>
      </w:pPr>
      <w:r>
        <w:rPr>
          <w:rFonts w:hint="eastAsia" w:ascii="宋体" w:hAnsi="宋体" w:cs="Arial"/>
          <w:sz w:val="24"/>
          <w:szCs w:val="28"/>
        </w:rPr>
        <w:t>评标委员会按排名顺序推荐前两名为中标候选人。</w:t>
      </w:r>
      <w:r>
        <w:rPr>
          <w:rFonts w:hint="eastAsia" w:ascii="宋体" w:hAnsi="宋体"/>
          <w:sz w:val="24"/>
          <w:szCs w:val="28"/>
        </w:rPr>
        <w:t>若排名第一的中标候选人放弃中标或被取消中标资格，采购人可顺选排名第二的为中标候选人。若排名第二中标候选人的报价高于排名第一的中标候选人报价20％（含）以上的，评标委员会只推荐排名第一的投标人为中标候选人</w:t>
      </w:r>
      <w:r>
        <w:rPr>
          <w:rFonts w:hint="eastAsia" w:ascii="宋体" w:hAnsi="宋体" w:cs="Arial"/>
          <w:sz w:val="24"/>
          <w:szCs w:val="28"/>
        </w:rPr>
        <w:t>。</w:t>
      </w:r>
    </w:p>
    <w:p>
      <w:pPr>
        <w:spacing w:line="360" w:lineRule="auto"/>
        <w:rPr>
          <w:rFonts w:ascii="宋体" w:hAnsi="宋体" w:cs="Arial"/>
          <w:b/>
          <w:sz w:val="24"/>
          <w:szCs w:val="28"/>
        </w:rPr>
      </w:pPr>
      <w:r>
        <w:rPr>
          <w:rFonts w:hint="eastAsia" w:ascii="宋体" w:hAnsi="宋体" w:cs="Arial"/>
          <w:b/>
          <w:sz w:val="24"/>
          <w:szCs w:val="28"/>
        </w:rPr>
        <w:t>4</w:t>
      </w:r>
      <w:r>
        <w:rPr>
          <w:rFonts w:hint="eastAsia" w:ascii="宋体" w:hAnsi="宋体" w:cs="Arial"/>
          <w:b/>
          <w:sz w:val="24"/>
          <w:szCs w:val="28"/>
        </w:rPr>
        <w:tab/>
      </w:r>
      <w:r>
        <w:rPr>
          <w:rFonts w:hint="eastAsia" w:ascii="宋体" w:hAnsi="宋体" w:cs="Arial"/>
          <w:b/>
          <w:sz w:val="24"/>
          <w:szCs w:val="28"/>
        </w:rPr>
        <w:t>评标表格</w:t>
      </w:r>
    </w:p>
    <w:p>
      <w:pPr>
        <w:spacing w:line="360" w:lineRule="auto"/>
        <w:jc w:val="center"/>
        <w:rPr>
          <w:rFonts w:ascii="宋体" w:hAnsi="宋体" w:cs="Arial"/>
          <w:b/>
          <w:sz w:val="24"/>
          <w:szCs w:val="28"/>
        </w:rPr>
      </w:pPr>
    </w:p>
    <w:p>
      <w:pPr>
        <w:spacing w:line="360" w:lineRule="auto"/>
        <w:jc w:val="center"/>
        <w:rPr>
          <w:rFonts w:ascii="宋体" w:hAnsi="宋体" w:cs="Arial"/>
          <w:b/>
          <w:sz w:val="24"/>
          <w:szCs w:val="28"/>
        </w:rPr>
      </w:pPr>
      <w:r>
        <w:rPr>
          <w:rFonts w:ascii="宋体" w:hAnsi="宋体" w:cs="Arial"/>
          <w:b/>
          <w:sz w:val="24"/>
          <w:szCs w:val="28"/>
        </w:rPr>
        <w:br w:type="page"/>
      </w:r>
      <w:r>
        <w:rPr>
          <w:rFonts w:hint="eastAsia" w:ascii="宋体" w:hAnsi="宋体" w:cs="Arial"/>
          <w:b/>
          <w:sz w:val="24"/>
          <w:szCs w:val="28"/>
        </w:rPr>
        <w:t>表一、投标文件实质性响应审查表</w:t>
      </w:r>
    </w:p>
    <w:p>
      <w:pPr>
        <w:spacing w:line="360" w:lineRule="auto"/>
        <w:rPr>
          <w:rFonts w:ascii="宋体" w:hAnsi="宋体" w:cs="Arial"/>
          <w:b/>
          <w:sz w:val="24"/>
          <w:szCs w:val="28"/>
        </w:rPr>
      </w:pPr>
    </w:p>
    <w:p>
      <w:pPr>
        <w:spacing w:line="360" w:lineRule="auto"/>
        <w:rPr>
          <w:rFonts w:ascii="宋体" w:hAnsi="宋体" w:cs="Arial"/>
          <w:b/>
          <w:bCs/>
          <w:sz w:val="24"/>
          <w:szCs w:val="28"/>
        </w:rPr>
      </w:pPr>
      <w:r>
        <w:rPr>
          <w:rFonts w:hint="eastAsia" w:ascii="宋体" w:hAnsi="宋体" w:cs="Arial"/>
          <w:b/>
          <w:sz w:val="24"/>
          <w:szCs w:val="28"/>
        </w:rPr>
        <w:t xml:space="preserve">投标人:                  </w:t>
      </w:r>
      <w:r>
        <w:rPr>
          <w:rFonts w:hint="eastAsia" w:ascii="宋体" w:hAnsi="宋体" w:cs="Arial"/>
          <w:b/>
          <w:bCs/>
          <w:sz w:val="24"/>
          <w:szCs w:val="28"/>
        </w:rPr>
        <w:t xml:space="preserve">审查结论（投标有效或投标无效）:  </w:t>
      </w:r>
    </w:p>
    <w:p>
      <w:pPr>
        <w:spacing w:line="360" w:lineRule="auto"/>
        <w:rPr>
          <w:rFonts w:ascii="宋体" w:hAnsi="宋体" w:cs="Arial"/>
          <w:bCs/>
          <w:sz w:val="24"/>
          <w:szCs w:val="28"/>
        </w:rPr>
      </w:pPr>
      <w:r>
        <w:rPr>
          <w:rFonts w:hint="eastAsia" w:ascii="宋体" w:hAnsi="宋体" w:cs="Arial"/>
          <w:bCs/>
          <w:sz w:val="24"/>
          <w:szCs w:val="28"/>
        </w:rPr>
        <w:t>说明：以下表格任意一项不符合招标文件要求的被视为投标无效。</w:t>
      </w:r>
    </w:p>
    <w:tbl>
      <w:tblPr>
        <w:tblStyle w:val="2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3940"/>
        <w:gridCol w:w="127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Align w:val="center"/>
          </w:tcPr>
          <w:p>
            <w:pPr>
              <w:spacing w:line="360" w:lineRule="auto"/>
              <w:jc w:val="center"/>
              <w:rPr>
                <w:rFonts w:ascii="宋体" w:hAnsi="宋体" w:cs="Arial"/>
                <w:b/>
                <w:sz w:val="24"/>
                <w:szCs w:val="28"/>
              </w:rPr>
            </w:pPr>
            <w:r>
              <w:rPr>
                <w:rFonts w:hint="eastAsia" w:ascii="宋体" w:hAnsi="宋体" w:cs="Arial"/>
                <w:b/>
                <w:sz w:val="24"/>
                <w:szCs w:val="28"/>
              </w:rPr>
              <w:t>审查类别</w:t>
            </w:r>
          </w:p>
        </w:tc>
        <w:tc>
          <w:tcPr>
            <w:tcW w:w="3940" w:type="dxa"/>
            <w:vAlign w:val="center"/>
          </w:tcPr>
          <w:p>
            <w:pPr>
              <w:spacing w:line="360" w:lineRule="auto"/>
              <w:jc w:val="center"/>
              <w:rPr>
                <w:rFonts w:ascii="宋体" w:hAnsi="宋体" w:cs="Arial"/>
                <w:b/>
                <w:sz w:val="24"/>
                <w:szCs w:val="28"/>
              </w:rPr>
            </w:pPr>
            <w:r>
              <w:rPr>
                <w:rFonts w:hint="eastAsia" w:ascii="宋体" w:hAnsi="宋体" w:cs="Arial"/>
                <w:b/>
                <w:sz w:val="24"/>
                <w:szCs w:val="28"/>
              </w:rPr>
              <w:t>审查内容</w:t>
            </w:r>
          </w:p>
        </w:tc>
        <w:tc>
          <w:tcPr>
            <w:tcW w:w="1279" w:type="dxa"/>
            <w:vAlign w:val="center"/>
          </w:tcPr>
          <w:p>
            <w:pPr>
              <w:spacing w:line="360" w:lineRule="auto"/>
              <w:jc w:val="center"/>
              <w:rPr>
                <w:rFonts w:ascii="宋体" w:hAnsi="宋体" w:cs="Arial"/>
                <w:b/>
                <w:sz w:val="24"/>
                <w:szCs w:val="28"/>
              </w:rPr>
            </w:pPr>
            <w:r>
              <w:rPr>
                <w:rFonts w:hint="eastAsia" w:ascii="宋体" w:hAnsi="宋体" w:cs="Arial"/>
                <w:b/>
                <w:sz w:val="24"/>
                <w:szCs w:val="28"/>
              </w:rPr>
              <w:t>是否符合</w:t>
            </w:r>
          </w:p>
        </w:tc>
        <w:tc>
          <w:tcPr>
            <w:tcW w:w="1278" w:type="dxa"/>
            <w:vAlign w:val="center"/>
          </w:tcPr>
          <w:p>
            <w:pPr>
              <w:spacing w:line="360" w:lineRule="auto"/>
              <w:jc w:val="center"/>
              <w:rPr>
                <w:rFonts w:ascii="宋体" w:hAnsi="宋体" w:cs="Arial"/>
                <w:b/>
                <w:sz w:val="24"/>
                <w:szCs w:val="28"/>
              </w:rPr>
            </w:pPr>
            <w:r>
              <w:rPr>
                <w:rFonts w:hint="eastAsia" w:ascii="宋体" w:hAnsi="宋体" w:cs="Arial"/>
                <w:b/>
                <w:sz w:val="24"/>
                <w:szCs w:val="28"/>
              </w:rPr>
              <w:t>不符合项说明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032" w:type="dxa"/>
            <w:vMerge w:val="restart"/>
          </w:tcPr>
          <w:p>
            <w:pPr>
              <w:spacing w:line="360" w:lineRule="auto"/>
              <w:jc w:val="center"/>
              <w:rPr>
                <w:rFonts w:ascii="宋体" w:hAnsi="宋体" w:cs="Arial"/>
                <w:sz w:val="24"/>
                <w:szCs w:val="28"/>
              </w:rPr>
            </w:pPr>
            <w:r>
              <w:rPr>
                <w:rFonts w:hint="eastAsia" w:ascii="宋体" w:hAnsi="宋体" w:cs="Arial"/>
                <w:sz w:val="24"/>
                <w:szCs w:val="28"/>
              </w:rPr>
              <w:t>重要指标要求（检查重要指标要求一览表）</w:t>
            </w:r>
          </w:p>
        </w:tc>
        <w:tc>
          <w:tcPr>
            <w:tcW w:w="3940" w:type="dxa"/>
          </w:tcPr>
          <w:p>
            <w:pPr>
              <w:spacing w:line="360" w:lineRule="auto"/>
              <w:rPr>
                <w:rFonts w:ascii="宋体" w:hAnsi="宋体" w:cs="Arial"/>
                <w:sz w:val="24"/>
                <w:szCs w:val="28"/>
              </w:rPr>
            </w:pPr>
            <w:r>
              <w:rPr>
                <w:rFonts w:hint="eastAsia" w:ascii="宋体" w:hAnsi="宋体" w:cs="Arial"/>
                <w:sz w:val="24"/>
                <w:szCs w:val="28"/>
              </w:rPr>
              <w:t>商务部分</w:t>
            </w:r>
          </w:p>
        </w:tc>
        <w:tc>
          <w:tcPr>
            <w:tcW w:w="1279" w:type="dxa"/>
          </w:tcPr>
          <w:p>
            <w:pPr>
              <w:spacing w:line="360" w:lineRule="auto"/>
              <w:rPr>
                <w:rFonts w:ascii="宋体" w:hAnsi="宋体" w:cs="Arial"/>
                <w:sz w:val="24"/>
                <w:szCs w:val="28"/>
              </w:rPr>
            </w:pPr>
          </w:p>
        </w:tc>
        <w:tc>
          <w:tcPr>
            <w:tcW w:w="1278" w:type="dxa"/>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Merge w:val="continue"/>
          </w:tcPr>
          <w:p>
            <w:pPr>
              <w:spacing w:line="360" w:lineRule="auto"/>
              <w:jc w:val="center"/>
              <w:rPr>
                <w:rFonts w:ascii="宋体" w:hAnsi="宋体" w:cs="Arial"/>
                <w:b/>
                <w:sz w:val="24"/>
                <w:szCs w:val="28"/>
              </w:rPr>
            </w:pPr>
          </w:p>
        </w:tc>
        <w:tc>
          <w:tcPr>
            <w:tcW w:w="3940" w:type="dxa"/>
          </w:tcPr>
          <w:p>
            <w:pPr>
              <w:spacing w:line="360" w:lineRule="auto"/>
              <w:rPr>
                <w:rFonts w:ascii="宋体" w:hAnsi="宋体" w:cs="Arial"/>
                <w:sz w:val="24"/>
                <w:szCs w:val="28"/>
              </w:rPr>
            </w:pPr>
            <w:r>
              <w:rPr>
                <w:rFonts w:hint="eastAsia" w:ascii="宋体" w:hAnsi="宋体" w:cs="Arial"/>
                <w:sz w:val="24"/>
                <w:szCs w:val="28"/>
              </w:rPr>
              <w:t>技术部分</w:t>
            </w:r>
          </w:p>
        </w:tc>
        <w:tc>
          <w:tcPr>
            <w:tcW w:w="1279" w:type="dxa"/>
          </w:tcPr>
          <w:p>
            <w:pPr>
              <w:spacing w:line="360" w:lineRule="auto"/>
              <w:rPr>
                <w:rFonts w:ascii="宋体" w:hAnsi="宋体" w:cs="Arial"/>
                <w:sz w:val="24"/>
                <w:szCs w:val="28"/>
              </w:rPr>
            </w:pPr>
          </w:p>
        </w:tc>
        <w:tc>
          <w:tcPr>
            <w:tcW w:w="1278" w:type="dxa"/>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2032" w:type="dxa"/>
            <w:vMerge w:val="restart"/>
          </w:tcPr>
          <w:p>
            <w:pPr>
              <w:spacing w:line="360" w:lineRule="auto"/>
              <w:jc w:val="center"/>
              <w:rPr>
                <w:rFonts w:ascii="宋体" w:hAnsi="宋体" w:cs="Arial"/>
                <w:sz w:val="24"/>
                <w:szCs w:val="28"/>
              </w:rPr>
            </w:pPr>
            <w:r>
              <w:rPr>
                <w:rFonts w:hint="eastAsia" w:ascii="宋体" w:hAnsi="宋体" w:cs="Arial"/>
                <w:sz w:val="24"/>
                <w:szCs w:val="28"/>
              </w:rPr>
              <w:t>其他</w:t>
            </w:r>
          </w:p>
        </w:tc>
        <w:tc>
          <w:tcPr>
            <w:tcW w:w="3940" w:type="dxa"/>
          </w:tcPr>
          <w:p>
            <w:pPr>
              <w:spacing w:line="360" w:lineRule="auto"/>
              <w:rPr>
                <w:rFonts w:ascii="宋体" w:hAnsi="宋体" w:cs="Arial"/>
                <w:sz w:val="24"/>
                <w:szCs w:val="28"/>
              </w:rPr>
            </w:pPr>
            <w:r>
              <w:rPr>
                <w:rFonts w:hint="eastAsia" w:ascii="宋体" w:hAnsi="宋体" w:cs="Arial"/>
                <w:sz w:val="24"/>
                <w:szCs w:val="28"/>
              </w:rPr>
              <w:t>投标文件载明的招标项目完成期限是否未超过招标文件规定的期限；</w:t>
            </w:r>
          </w:p>
        </w:tc>
        <w:tc>
          <w:tcPr>
            <w:tcW w:w="1279" w:type="dxa"/>
          </w:tcPr>
          <w:p>
            <w:pPr>
              <w:spacing w:line="360" w:lineRule="auto"/>
              <w:rPr>
                <w:rFonts w:ascii="宋体" w:hAnsi="宋体" w:cs="Arial"/>
                <w:sz w:val="24"/>
                <w:szCs w:val="28"/>
              </w:rPr>
            </w:pPr>
          </w:p>
        </w:tc>
        <w:tc>
          <w:tcPr>
            <w:tcW w:w="1278" w:type="dxa"/>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Merge w:val="continue"/>
          </w:tcPr>
          <w:p>
            <w:pPr>
              <w:spacing w:line="360" w:lineRule="auto"/>
              <w:rPr>
                <w:rFonts w:ascii="宋体" w:hAnsi="宋体" w:cs="Arial"/>
                <w:b/>
                <w:sz w:val="24"/>
                <w:szCs w:val="28"/>
              </w:rPr>
            </w:pPr>
          </w:p>
        </w:tc>
        <w:tc>
          <w:tcPr>
            <w:tcW w:w="3940" w:type="dxa"/>
          </w:tcPr>
          <w:p>
            <w:pPr>
              <w:spacing w:line="360" w:lineRule="auto"/>
              <w:rPr>
                <w:rFonts w:ascii="宋体" w:hAnsi="宋体" w:cs="Arial"/>
                <w:sz w:val="24"/>
                <w:szCs w:val="28"/>
              </w:rPr>
            </w:pPr>
            <w:r>
              <w:rPr>
                <w:rFonts w:hint="eastAsia" w:ascii="宋体" w:hAnsi="宋体" w:cs="Arial"/>
                <w:sz w:val="24"/>
                <w:szCs w:val="28"/>
              </w:rPr>
              <w:t>是否无明显不符合技术规格、技术标准的要求；</w:t>
            </w:r>
          </w:p>
        </w:tc>
        <w:tc>
          <w:tcPr>
            <w:tcW w:w="1279" w:type="dxa"/>
          </w:tcPr>
          <w:p>
            <w:pPr>
              <w:spacing w:line="360" w:lineRule="auto"/>
              <w:rPr>
                <w:rFonts w:ascii="宋体" w:hAnsi="宋体" w:cs="Arial"/>
                <w:sz w:val="24"/>
                <w:szCs w:val="28"/>
              </w:rPr>
            </w:pPr>
          </w:p>
        </w:tc>
        <w:tc>
          <w:tcPr>
            <w:tcW w:w="1278" w:type="dxa"/>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Merge w:val="continue"/>
          </w:tcPr>
          <w:p>
            <w:pPr>
              <w:spacing w:line="360" w:lineRule="auto"/>
              <w:rPr>
                <w:rFonts w:ascii="宋体" w:hAnsi="宋体" w:cs="Arial"/>
                <w:b/>
                <w:sz w:val="24"/>
                <w:szCs w:val="28"/>
              </w:rPr>
            </w:pPr>
          </w:p>
        </w:tc>
        <w:tc>
          <w:tcPr>
            <w:tcW w:w="3940" w:type="dxa"/>
          </w:tcPr>
          <w:p>
            <w:pPr>
              <w:spacing w:line="360" w:lineRule="auto"/>
              <w:rPr>
                <w:rFonts w:ascii="宋体" w:hAnsi="宋体" w:cs="Arial"/>
                <w:sz w:val="24"/>
                <w:szCs w:val="28"/>
              </w:rPr>
            </w:pPr>
            <w:r>
              <w:rPr>
                <w:rFonts w:hint="eastAsia" w:ascii="宋体" w:hAnsi="宋体" w:cs="Arial"/>
                <w:sz w:val="24"/>
                <w:szCs w:val="28"/>
              </w:rPr>
              <w:t>投标文件载明的物品材料、安装方式是否无明显不符合招标文件的要求；</w:t>
            </w:r>
          </w:p>
        </w:tc>
        <w:tc>
          <w:tcPr>
            <w:tcW w:w="1279" w:type="dxa"/>
          </w:tcPr>
          <w:p>
            <w:pPr>
              <w:spacing w:line="360" w:lineRule="auto"/>
              <w:rPr>
                <w:rFonts w:ascii="宋体" w:hAnsi="宋体" w:cs="Arial"/>
                <w:sz w:val="24"/>
                <w:szCs w:val="28"/>
              </w:rPr>
            </w:pPr>
          </w:p>
        </w:tc>
        <w:tc>
          <w:tcPr>
            <w:tcW w:w="1278" w:type="dxa"/>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Merge w:val="continue"/>
          </w:tcPr>
          <w:p>
            <w:pPr>
              <w:spacing w:line="360" w:lineRule="auto"/>
              <w:rPr>
                <w:rFonts w:ascii="宋体" w:hAnsi="宋体" w:cs="Arial"/>
                <w:b/>
                <w:sz w:val="24"/>
                <w:szCs w:val="28"/>
              </w:rPr>
            </w:pPr>
          </w:p>
        </w:tc>
        <w:tc>
          <w:tcPr>
            <w:tcW w:w="3940" w:type="dxa"/>
          </w:tcPr>
          <w:p>
            <w:pPr>
              <w:spacing w:line="360" w:lineRule="auto"/>
              <w:rPr>
                <w:rFonts w:ascii="宋体" w:hAnsi="宋体" w:cs="Arial"/>
                <w:sz w:val="24"/>
                <w:szCs w:val="28"/>
              </w:rPr>
            </w:pPr>
            <w:r>
              <w:rPr>
                <w:rFonts w:hint="eastAsia" w:ascii="宋体" w:hAnsi="宋体" w:cs="Arial"/>
                <w:sz w:val="24"/>
                <w:szCs w:val="28"/>
              </w:rPr>
              <w:t>投标文件是否未附采购人不能接受的条件；</w:t>
            </w:r>
          </w:p>
        </w:tc>
        <w:tc>
          <w:tcPr>
            <w:tcW w:w="1279" w:type="dxa"/>
          </w:tcPr>
          <w:p>
            <w:pPr>
              <w:spacing w:line="360" w:lineRule="auto"/>
              <w:rPr>
                <w:rFonts w:ascii="宋体" w:hAnsi="宋体" w:cs="Arial"/>
                <w:sz w:val="24"/>
                <w:szCs w:val="28"/>
              </w:rPr>
            </w:pPr>
          </w:p>
        </w:tc>
        <w:tc>
          <w:tcPr>
            <w:tcW w:w="1278" w:type="dxa"/>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Merge w:val="continue"/>
          </w:tcPr>
          <w:p>
            <w:pPr>
              <w:spacing w:line="360" w:lineRule="auto"/>
              <w:rPr>
                <w:rFonts w:ascii="宋体" w:hAnsi="宋体" w:cs="Arial"/>
                <w:b/>
                <w:sz w:val="24"/>
                <w:szCs w:val="28"/>
              </w:rPr>
            </w:pPr>
          </w:p>
        </w:tc>
        <w:tc>
          <w:tcPr>
            <w:tcW w:w="3940" w:type="dxa"/>
          </w:tcPr>
          <w:p>
            <w:pPr>
              <w:spacing w:line="360" w:lineRule="auto"/>
              <w:rPr>
                <w:rFonts w:ascii="宋体" w:hAnsi="宋体" w:cs="Arial"/>
                <w:sz w:val="24"/>
                <w:szCs w:val="28"/>
              </w:rPr>
            </w:pPr>
            <w:r>
              <w:rPr>
                <w:rFonts w:hint="eastAsia" w:ascii="宋体" w:hAnsi="宋体" w:cs="Arial"/>
                <w:sz w:val="24"/>
                <w:szCs w:val="28"/>
              </w:rPr>
              <w:t>未被“信用中国”网站列入失信被执行人、重大税收违法案件当事人名单、政府采购严重违法失信行为记录名单</w:t>
            </w:r>
          </w:p>
        </w:tc>
        <w:tc>
          <w:tcPr>
            <w:tcW w:w="1279" w:type="dxa"/>
          </w:tcPr>
          <w:p>
            <w:pPr>
              <w:spacing w:line="360" w:lineRule="auto"/>
              <w:rPr>
                <w:rFonts w:ascii="宋体" w:hAnsi="宋体" w:cs="Arial"/>
                <w:sz w:val="24"/>
                <w:szCs w:val="28"/>
              </w:rPr>
            </w:pPr>
          </w:p>
        </w:tc>
        <w:tc>
          <w:tcPr>
            <w:tcW w:w="1278" w:type="dxa"/>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vMerge w:val="continue"/>
          </w:tcPr>
          <w:p>
            <w:pPr>
              <w:spacing w:line="360" w:lineRule="auto"/>
              <w:rPr>
                <w:rFonts w:ascii="宋体" w:hAnsi="宋体" w:cs="Arial"/>
                <w:b/>
                <w:sz w:val="24"/>
                <w:szCs w:val="28"/>
              </w:rPr>
            </w:pPr>
          </w:p>
        </w:tc>
        <w:tc>
          <w:tcPr>
            <w:tcW w:w="3940" w:type="dxa"/>
          </w:tcPr>
          <w:p>
            <w:pPr>
              <w:spacing w:line="360" w:lineRule="auto"/>
              <w:rPr>
                <w:sz w:val="24"/>
              </w:rPr>
            </w:pPr>
            <w:r>
              <w:rPr>
                <w:rFonts w:hint="eastAsia"/>
                <w:sz w:val="24"/>
              </w:rPr>
              <w:t>其他</w:t>
            </w:r>
          </w:p>
        </w:tc>
        <w:tc>
          <w:tcPr>
            <w:tcW w:w="1279" w:type="dxa"/>
          </w:tcPr>
          <w:p>
            <w:pPr>
              <w:spacing w:line="360" w:lineRule="auto"/>
              <w:rPr>
                <w:rFonts w:ascii="宋体" w:hAnsi="宋体" w:cs="Arial"/>
                <w:sz w:val="24"/>
                <w:szCs w:val="28"/>
              </w:rPr>
            </w:pPr>
          </w:p>
        </w:tc>
        <w:tc>
          <w:tcPr>
            <w:tcW w:w="1278" w:type="dxa"/>
          </w:tcPr>
          <w:p>
            <w:pPr>
              <w:spacing w:line="360" w:lineRule="auto"/>
              <w:rPr>
                <w:rFonts w:ascii="宋体" w:hAnsi="宋体" w:cs="Arial"/>
                <w:sz w:val="24"/>
                <w:szCs w:val="28"/>
              </w:rPr>
            </w:pPr>
          </w:p>
        </w:tc>
      </w:tr>
    </w:tbl>
    <w:p>
      <w:pPr>
        <w:spacing w:line="360" w:lineRule="auto"/>
        <w:rPr>
          <w:rFonts w:ascii="宋体" w:hAnsi="宋体" w:cs="Arial"/>
          <w:b/>
          <w:sz w:val="24"/>
          <w:szCs w:val="28"/>
        </w:rPr>
      </w:pPr>
      <w:r>
        <w:rPr>
          <w:rFonts w:hint="eastAsia" w:ascii="宋体" w:hAnsi="宋体" w:cs="Arial"/>
          <w:b/>
          <w:sz w:val="24"/>
          <w:szCs w:val="28"/>
        </w:rPr>
        <w:t>评标委员会全体成员签字：</w:t>
      </w:r>
      <w:bookmarkEnd w:id="108"/>
      <w:bookmarkEnd w:id="109"/>
      <w:bookmarkEnd w:id="110"/>
      <w:bookmarkEnd w:id="111"/>
      <w:bookmarkEnd w:id="112"/>
      <w:bookmarkEnd w:id="113"/>
      <w:bookmarkEnd w:id="114"/>
      <w:bookmarkEnd w:id="115"/>
      <w:bookmarkEnd w:id="116"/>
    </w:p>
    <w:p>
      <w:pPr>
        <w:spacing w:line="360" w:lineRule="auto"/>
        <w:jc w:val="center"/>
        <w:rPr>
          <w:rFonts w:ascii="宋体" w:hAnsi="宋体" w:cs="Arial"/>
          <w:b/>
          <w:sz w:val="24"/>
          <w:szCs w:val="28"/>
        </w:rPr>
      </w:pPr>
      <w:r>
        <w:rPr>
          <w:rFonts w:ascii="宋体" w:hAnsi="宋体" w:cs="Arial"/>
          <w:b/>
          <w:sz w:val="24"/>
          <w:szCs w:val="28"/>
        </w:rPr>
        <w:br w:type="page"/>
      </w:r>
      <w:r>
        <w:rPr>
          <w:rFonts w:hint="eastAsia" w:ascii="宋体" w:hAnsi="宋体" w:cs="Arial"/>
          <w:b/>
          <w:sz w:val="24"/>
          <w:szCs w:val="28"/>
        </w:rPr>
        <w:t>表二、技术部分响应评分表</w:t>
      </w:r>
    </w:p>
    <w:p>
      <w:pPr>
        <w:spacing w:line="360" w:lineRule="auto"/>
        <w:rPr>
          <w:rFonts w:ascii="宋体" w:hAnsi="宋体" w:cs="Arial"/>
          <w:b/>
          <w:sz w:val="24"/>
          <w:szCs w:val="28"/>
        </w:rPr>
      </w:pPr>
    </w:p>
    <w:p>
      <w:pPr>
        <w:spacing w:line="360" w:lineRule="auto"/>
        <w:rPr>
          <w:rFonts w:ascii="宋体" w:hAnsi="宋体" w:cs="Arial"/>
          <w:b/>
          <w:bCs/>
          <w:sz w:val="24"/>
          <w:szCs w:val="28"/>
        </w:rPr>
      </w:pPr>
      <w:r>
        <w:rPr>
          <w:rFonts w:hint="eastAsia" w:ascii="宋体" w:hAnsi="宋体" w:cs="Arial"/>
          <w:b/>
          <w:sz w:val="24"/>
          <w:szCs w:val="28"/>
        </w:rPr>
        <w:t xml:space="preserve">投标人:                 </w:t>
      </w:r>
      <w:r>
        <w:rPr>
          <w:rFonts w:hint="eastAsia" w:ascii="宋体" w:hAnsi="宋体" w:cs="Arial"/>
          <w:b/>
          <w:bCs/>
          <w:sz w:val="24"/>
          <w:szCs w:val="28"/>
        </w:rPr>
        <w:t xml:space="preserve">评分合计:             </w:t>
      </w:r>
      <w:r>
        <w:rPr>
          <w:rFonts w:hint="eastAsia" w:ascii="宋体" w:hAnsi="宋体" w:cs="Arial"/>
          <w:b/>
          <w:sz w:val="24"/>
          <w:szCs w:val="28"/>
        </w:rPr>
        <w:t>评委签字：</w:t>
      </w:r>
      <w:r>
        <w:rPr>
          <w:rFonts w:hint="eastAsia" w:ascii="宋体" w:hAnsi="宋体" w:cs="Arial"/>
          <w:b/>
          <w:bCs/>
          <w:sz w:val="24"/>
          <w:szCs w:val="28"/>
        </w:rPr>
        <w:t xml:space="preserve">  </w:t>
      </w:r>
    </w:p>
    <w:tbl>
      <w:tblPr>
        <w:tblStyle w:val="27"/>
        <w:tblW w:w="8529" w:type="dxa"/>
        <w:tblInd w:w="0" w:type="dxa"/>
        <w:tblLayout w:type="fixed"/>
        <w:tblCellMar>
          <w:top w:w="0" w:type="dxa"/>
          <w:left w:w="108" w:type="dxa"/>
          <w:bottom w:w="0" w:type="dxa"/>
          <w:right w:w="108" w:type="dxa"/>
        </w:tblCellMar>
      </w:tblPr>
      <w:tblGrid>
        <w:gridCol w:w="750"/>
        <w:gridCol w:w="2222"/>
        <w:gridCol w:w="4536"/>
        <w:gridCol w:w="1021"/>
      </w:tblGrid>
      <w:tr>
        <w:tblPrEx>
          <w:tblCellMar>
            <w:top w:w="0" w:type="dxa"/>
            <w:left w:w="108" w:type="dxa"/>
            <w:bottom w:w="0" w:type="dxa"/>
            <w:right w:w="108" w:type="dxa"/>
          </w:tblCellMar>
        </w:tblPrEx>
        <w:trPr>
          <w:trHeight w:val="97" w:hRule="atLeast"/>
          <w:tblHeader/>
        </w:trPr>
        <w:tc>
          <w:tcPr>
            <w:tcW w:w="7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rPr>
            </w:pPr>
            <w:r>
              <w:rPr>
                <w:rFonts w:hint="eastAsia" w:ascii="宋体" w:hAnsi="宋体" w:cs="宋体"/>
                <w:b/>
                <w:kern w:val="0"/>
                <w:sz w:val="24"/>
              </w:rPr>
              <w:t>序号</w:t>
            </w:r>
          </w:p>
        </w:tc>
        <w:tc>
          <w:tcPr>
            <w:tcW w:w="22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kern w:val="0"/>
                <w:sz w:val="24"/>
              </w:rPr>
            </w:pPr>
            <w:r>
              <w:rPr>
                <w:rFonts w:hint="eastAsia" w:ascii="宋体" w:hAnsi="宋体" w:cs="宋体"/>
                <w:b/>
                <w:kern w:val="0"/>
                <w:sz w:val="24"/>
              </w:rPr>
              <w:t>评审内容</w:t>
            </w:r>
          </w:p>
        </w:tc>
        <w:tc>
          <w:tcPr>
            <w:tcW w:w="453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kern w:val="0"/>
                <w:sz w:val="24"/>
              </w:rPr>
            </w:pPr>
            <w:r>
              <w:rPr>
                <w:rFonts w:hint="eastAsia" w:ascii="宋体" w:hAnsi="宋体" w:cs="宋体"/>
                <w:b/>
                <w:kern w:val="0"/>
                <w:sz w:val="24"/>
              </w:rPr>
              <w:t>评分细则</w:t>
            </w:r>
          </w:p>
        </w:tc>
        <w:tc>
          <w:tcPr>
            <w:tcW w:w="102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kern w:val="0"/>
                <w:sz w:val="24"/>
              </w:rPr>
            </w:pPr>
            <w:r>
              <w:rPr>
                <w:rFonts w:hint="eastAsia" w:ascii="宋体" w:hAnsi="宋体" w:cs="宋体"/>
                <w:b/>
                <w:kern w:val="0"/>
                <w:sz w:val="24"/>
              </w:rPr>
              <w:t>分值（</w:t>
            </w:r>
            <w:r>
              <w:rPr>
                <w:rFonts w:hint="eastAsia" w:ascii="宋体" w:hAnsi="宋体" w:cs="宋体"/>
                <w:b/>
                <w:kern w:val="0"/>
                <w:sz w:val="24"/>
                <w:lang w:val="en-US" w:eastAsia="zh-CN"/>
              </w:rPr>
              <w:t>45</w:t>
            </w:r>
            <w:r>
              <w:rPr>
                <w:rFonts w:hint="eastAsia" w:ascii="宋体" w:hAnsi="宋体" w:cs="宋体"/>
                <w:b/>
                <w:kern w:val="0"/>
                <w:sz w:val="24"/>
              </w:rPr>
              <w:t>）</w:t>
            </w:r>
          </w:p>
        </w:tc>
      </w:tr>
      <w:tr>
        <w:tblPrEx>
          <w:tblCellMar>
            <w:top w:w="0" w:type="dxa"/>
            <w:left w:w="108" w:type="dxa"/>
            <w:bottom w:w="0" w:type="dxa"/>
            <w:right w:w="108" w:type="dxa"/>
          </w:tblCellMar>
        </w:tblPrEx>
        <w:trPr>
          <w:trHeight w:val="194" w:hRule="atLeast"/>
        </w:trPr>
        <w:tc>
          <w:tcPr>
            <w:tcW w:w="7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2222" w:type="dxa"/>
            <w:tcBorders>
              <w:top w:val="nil"/>
              <w:left w:val="nil"/>
              <w:bottom w:val="single" w:color="auto" w:sz="4" w:space="0"/>
              <w:right w:val="single" w:color="auto" w:sz="4" w:space="0"/>
            </w:tcBorders>
            <w:vAlign w:val="center"/>
          </w:tcPr>
          <w:p>
            <w:pPr>
              <w:rPr>
                <w:rFonts w:ascii="宋体" w:hAnsi="宋体"/>
                <w:sz w:val="24"/>
              </w:rPr>
            </w:pPr>
            <w:r>
              <w:rPr>
                <w:rFonts w:hint="eastAsia" w:ascii="宋体" w:hAnsi="宋体"/>
                <w:sz w:val="24"/>
              </w:rPr>
              <w:t>对广州市</w:t>
            </w:r>
            <w:r>
              <w:rPr>
                <w:rFonts w:hint="eastAsia" w:ascii="宋体" w:hAnsi="宋体"/>
                <w:sz w:val="24"/>
                <w:lang w:val="en-US" w:eastAsia="zh-CN"/>
              </w:rPr>
              <w:t>一体化政务服务</w:t>
            </w:r>
            <w:r>
              <w:rPr>
                <w:rFonts w:hint="eastAsia" w:ascii="宋体" w:hAnsi="宋体"/>
                <w:sz w:val="24"/>
              </w:rPr>
              <w:t>建设现状、需求的理解情况</w:t>
            </w:r>
          </w:p>
        </w:tc>
        <w:tc>
          <w:tcPr>
            <w:tcW w:w="4536" w:type="dxa"/>
            <w:tcBorders>
              <w:top w:val="nil"/>
              <w:left w:val="nil"/>
              <w:bottom w:val="single" w:color="auto" w:sz="4" w:space="0"/>
              <w:right w:val="single" w:color="auto" w:sz="4" w:space="0"/>
            </w:tcBorders>
          </w:tcPr>
          <w:p>
            <w:pPr>
              <w:rPr>
                <w:rFonts w:ascii="宋体" w:hAnsi="宋体"/>
                <w:sz w:val="24"/>
              </w:rPr>
            </w:pPr>
            <w:r>
              <w:rPr>
                <w:rFonts w:hint="eastAsia" w:ascii="宋体" w:hAnsi="宋体"/>
                <w:sz w:val="24"/>
              </w:rPr>
              <w:t>根据投标人</w:t>
            </w:r>
            <w:r>
              <w:rPr>
                <w:rFonts w:hint="eastAsia" w:ascii="宋体" w:hAnsi="宋体"/>
                <w:sz w:val="24"/>
                <w:lang w:val="en-US" w:eastAsia="zh-CN"/>
              </w:rPr>
              <w:t>对一体化政务服务理解的</w:t>
            </w:r>
            <w:r>
              <w:rPr>
                <w:rFonts w:hint="eastAsia" w:ascii="宋体" w:hAnsi="宋体"/>
                <w:sz w:val="24"/>
              </w:rPr>
              <w:t>全面性、准确性和深度等方面进行横向对比，</w:t>
            </w:r>
          </w:p>
          <w:p>
            <w:pPr>
              <w:rPr>
                <w:rFonts w:ascii="宋体" w:hAnsi="宋体"/>
                <w:sz w:val="24"/>
              </w:rPr>
            </w:pPr>
            <w:r>
              <w:rPr>
                <w:rFonts w:hint="eastAsia" w:ascii="宋体" w:hAnsi="宋体"/>
                <w:sz w:val="24"/>
              </w:rPr>
              <w:t>对比最优得</w:t>
            </w:r>
            <w:r>
              <w:rPr>
                <w:rFonts w:ascii="宋体" w:hAnsi="宋体"/>
                <w:sz w:val="24"/>
              </w:rPr>
              <w:t>5</w:t>
            </w:r>
            <w:r>
              <w:rPr>
                <w:rFonts w:hint="eastAsia" w:ascii="宋体" w:hAnsi="宋体"/>
                <w:sz w:val="24"/>
              </w:rPr>
              <w:t xml:space="preserve"> 分，次之得3分，一般得</w:t>
            </w:r>
            <w:r>
              <w:rPr>
                <w:rFonts w:ascii="宋体" w:hAnsi="宋体"/>
                <w:sz w:val="24"/>
              </w:rPr>
              <w:t>2</w:t>
            </w:r>
            <w:r>
              <w:rPr>
                <w:rFonts w:hint="eastAsia" w:ascii="宋体" w:hAnsi="宋体"/>
                <w:sz w:val="24"/>
              </w:rPr>
              <w:t>分，最差得</w:t>
            </w:r>
            <w:r>
              <w:rPr>
                <w:rFonts w:ascii="宋体" w:hAnsi="宋体"/>
                <w:sz w:val="24"/>
              </w:rPr>
              <w:t>1</w:t>
            </w:r>
            <w:r>
              <w:rPr>
                <w:rFonts w:hint="eastAsia" w:ascii="宋体" w:hAnsi="宋体"/>
                <w:sz w:val="24"/>
              </w:rPr>
              <w:t>分。</w:t>
            </w:r>
          </w:p>
        </w:tc>
        <w:tc>
          <w:tcPr>
            <w:tcW w:w="1021" w:type="dxa"/>
            <w:tcBorders>
              <w:top w:val="nil"/>
              <w:left w:val="nil"/>
              <w:bottom w:val="single" w:color="auto" w:sz="4" w:space="0"/>
              <w:right w:val="single" w:color="auto" w:sz="4" w:space="0"/>
            </w:tcBorders>
            <w:vAlign w:val="center"/>
          </w:tcPr>
          <w:p>
            <w:pPr>
              <w:jc w:val="center"/>
              <w:rPr>
                <w:rFonts w:ascii="宋体" w:hAnsi="宋体"/>
                <w:sz w:val="24"/>
                <w:szCs w:val="22"/>
              </w:rPr>
            </w:pPr>
            <w:r>
              <w:rPr>
                <w:rFonts w:ascii="宋体" w:hAnsi="宋体"/>
                <w:sz w:val="24"/>
                <w:szCs w:val="22"/>
              </w:rPr>
              <w:t>5</w:t>
            </w:r>
          </w:p>
        </w:tc>
      </w:tr>
      <w:tr>
        <w:tblPrEx>
          <w:tblCellMar>
            <w:top w:w="0" w:type="dxa"/>
            <w:left w:w="108" w:type="dxa"/>
            <w:bottom w:w="0" w:type="dxa"/>
            <w:right w:w="108" w:type="dxa"/>
          </w:tblCellMar>
        </w:tblPrEx>
        <w:trPr>
          <w:trHeight w:val="194" w:hRule="atLeast"/>
        </w:trPr>
        <w:tc>
          <w:tcPr>
            <w:tcW w:w="7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2222" w:type="dxa"/>
            <w:tcBorders>
              <w:top w:val="nil"/>
              <w:left w:val="nil"/>
              <w:bottom w:val="single" w:color="auto" w:sz="4" w:space="0"/>
              <w:right w:val="single" w:color="auto" w:sz="4" w:space="0"/>
            </w:tcBorders>
            <w:vAlign w:val="center"/>
          </w:tcPr>
          <w:p>
            <w:pPr>
              <w:rPr>
                <w:rFonts w:ascii="宋体" w:hAnsi="宋体"/>
                <w:sz w:val="24"/>
              </w:rPr>
            </w:pPr>
            <w:r>
              <w:rPr>
                <w:rFonts w:hint="eastAsia" w:ascii="宋体" w:hAnsi="宋体"/>
                <w:sz w:val="24"/>
              </w:rPr>
              <w:t>对</w:t>
            </w:r>
            <w:r>
              <w:rPr>
                <w:rFonts w:hint="eastAsia" w:ascii="宋体" w:hAnsi="宋体"/>
                <w:sz w:val="24"/>
                <w:lang w:val="en-US" w:eastAsia="zh-CN"/>
              </w:rPr>
              <w:t>广州市各政府部门移动服务APP的梳理和分析</w:t>
            </w:r>
          </w:p>
        </w:tc>
        <w:tc>
          <w:tcPr>
            <w:tcW w:w="4536" w:type="dxa"/>
            <w:tcBorders>
              <w:top w:val="nil"/>
              <w:left w:val="nil"/>
              <w:bottom w:val="single" w:color="auto" w:sz="4" w:space="0"/>
              <w:right w:val="single" w:color="auto" w:sz="4" w:space="0"/>
            </w:tcBorders>
          </w:tcPr>
          <w:p>
            <w:pPr>
              <w:rPr>
                <w:rFonts w:ascii="宋体" w:hAnsi="宋体"/>
                <w:sz w:val="24"/>
              </w:rPr>
            </w:pPr>
            <w:r>
              <w:rPr>
                <w:rFonts w:hint="eastAsia" w:ascii="宋体" w:hAnsi="宋体"/>
                <w:sz w:val="24"/>
              </w:rPr>
              <w:t>根据投标人提出的</w:t>
            </w:r>
            <w:r>
              <w:rPr>
                <w:rFonts w:hint="eastAsia" w:ascii="宋体" w:hAnsi="宋体"/>
                <w:sz w:val="24"/>
                <w:lang w:val="en-US" w:eastAsia="zh-CN"/>
              </w:rPr>
              <w:t>广州市各政务部门移动服务APP</w:t>
            </w:r>
            <w:r>
              <w:rPr>
                <w:rFonts w:hint="eastAsia" w:ascii="宋体" w:hAnsi="宋体"/>
                <w:sz w:val="24"/>
              </w:rPr>
              <w:t>的</w:t>
            </w:r>
            <w:r>
              <w:rPr>
                <w:rFonts w:hint="eastAsia" w:ascii="宋体" w:hAnsi="宋体"/>
                <w:sz w:val="24"/>
                <w:lang w:val="en-US" w:eastAsia="zh-CN"/>
              </w:rPr>
              <w:t>梳理</w:t>
            </w:r>
            <w:r>
              <w:rPr>
                <w:rFonts w:hint="eastAsia" w:ascii="宋体" w:hAnsi="宋体"/>
                <w:sz w:val="24"/>
              </w:rPr>
              <w:t>、分析的准确性、合理性、科学性等方面进行横向对比，对比最优得</w:t>
            </w:r>
            <w:r>
              <w:rPr>
                <w:rFonts w:ascii="宋体" w:hAnsi="宋体"/>
                <w:sz w:val="24"/>
              </w:rPr>
              <w:t>5</w:t>
            </w:r>
            <w:r>
              <w:rPr>
                <w:rFonts w:hint="eastAsia" w:ascii="宋体" w:hAnsi="宋体"/>
                <w:sz w:val="24"/>
              </w:rPr>
              <w:t xml:space="preserve"> 分，次之得3分，一般得</w:t>
            </w:r>
            <w:r>
              <w:rPr>
                <w:rFonts w:ascii="宋体" w:hAnsi="宋体"/>
                <w:sz w:val="24"/>
              </w:rPr>
              <w:t>2</w:t>
            </w:r>
            <w:r>
              <w:rPr>
                <w:rFonts w:hint="eastAsia" w:ascii="宋体" w:hAnsi="宋体"/>
                <w:sz w:val="24"/>
              </w:rPr>
              <w:t>分，最差得</w:t>
            </w:r>
            <w:r>
              <w:rPr>
                <w:rFonts w:ascii="宋体" w:hAnsi="宋体"/>
                <w:sz w:val="24"/>
              </w:rPr>
              <w:t>1</w:t>
            </w:r>
            <w:r>
              <w:rPr>
                <w:rFonts w:hint="eastAsia" w:ascii="宋体" w:hAnsi="宋体"/>
                <w:sz w:val="24"/>
              </w:rPr>
              <w:t>分。</w:t>
            </w:r>
          </w:p>
        </w:tc>
        <w:tc>
          <w:tcPr>
            <w:tcW w:w="1021" w:type="dxa"/>
            <w:tcBorders>
              <w:top w:val="nil"/>
              <w:left w:val="nil"/>
              <w:bottom w:val="single" w:color="auto" w:sz="4" w:space="0"/>
              <w:right w:val="single" w:color="auto" w:sz="4" w:space="0"/>
            </w:tcBorders>
            <w:vAlign w:val="center"/>
          </w:tcPr>
          <w:p>
            <w:pPr>
              <w:jc w:val="center"/>
              <w:rPr>
                <w:rFonts w:ascii="宋体" w:hAnsi="宋体"/>
                <w:sz w:val="24"/>
                <w:szCs w:val="22"/>
              </w:rPr>
            </w:pPr>
            <w:r>
              <w:rPr>
                <w:rFonts w:ascii="宋体" w:hAnsi="宋体"/>
                <w:sz w:val="24"/>
                <w:szCs w:val="22"/>
              </w:rPr>
              <w:t>5</w:t>
            </w:r>
          </w:p>
        </w:tc>
      </w:tr>
      <w:tr>
        <w:tblPrEx>
          <w:tblCellMar>
            <w:top w:w="0" w:type="dxa"/>
            <w:left w:w="108" w:type="dxa"/>
            <w:bottom w:w="0" w:type="dxa"/>
            <w:right w:w="108" w:type="dxa"/>
          </w:tblCellMar>
        </w:tblPrEx>
        <w:trPr>
          <w:trHeight w:val="291" w:hRule="atLeast"/>
        </w:trPr>
        <w:tc>
          <w:tcPr>
            <w:tcW w:w="7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ascii="宋体" w:hAnsi="宋体" w:cs="宋体"/>
                <w:kern w:val="0"/>
                <w:sz w:val="24"/>
              </w:rPr>
              <w:t>3</w:t>
            </w:r>
          </w:p>
        </w:tc>
        <w:tc>
          <w:tcPr>
            <w:tcW w:w="2222" w:type="dxa"/>
            <w:tcBorders>
              <w:top w:val="nil"/>
              <w:left w:val="nil"/>
              <w:bottom w:val="single" w:color="auto" w:sz="4" w:space="0"/>
              <w:right w:val="single" w:color="auto" w:sz="4" w:space="0"/>
            </w:tcBorders>
            <w:vAlign w:val="center"/>
          </w:tcPr>
          <w:p>
            <w:pPr>
              <w:rPr>
                <w:rFonts w:hint="eastAsia" w:ascii="宋体" w:hAnsi="宋体" w:eastAsia="宋体"/>
                <w:sz w:val="24"/>
                <w:lang w:val="en-US" w:eastAsia="zh-CN"/>
              </w:rPr>
            </w:pPr>
            <w:r>
              <w:rPr>
                <w:rFonts w:hint="eastAsia" w:ascii="宋体" w:hAnsi="宋体"/>
                <w:sz w:val="24"/>
              </w:rPr>
              <w:t>对广州市</w:t>
            </w:r>
            <w:r>
              <w:rPr>
                <w:rFonts w:hint="eastAsia" w:ascii="宋体" w:hAnsi="宋体"/>
                <w:sz w:val="24"/>
                <w:lang w:val="en-US" w:eastAsia="zh-CN"/>
              </w:rPr>
              <w:t>原“穗好办”移动服务APP的扩充</w:t>
            </w:r>
            <w:r>
              <w:rPr>
                <w:rFonts w:hint="eastAsia" w:ascii="宋体" w:hAnsi="宋体"/>
                <w:sz w:val="24"/>
              </w:rPr>
              <w:t>和</w:t>
            </w:r>
            <w:r>
              <w:rPr>
                <w:rFonts w:hint="eastAsia" w:ascii="宋体" w:hAnsi="宋体"/>
                <w:sz w:val="24"/>
                <w:lang w:val="en-US" w:eastAsia="zh-CN"/>
              </w:rPr>
              <w:t>迭代方案</w:t>
            </w:r>
          </w:p>
        </w:tc>
        <w:tc>
          <w:tcPr>
            <w:tcW w:w="4536" w:type="dxa"/>
            <w:tcBorders>
              <w:top w:val="nil"/>
              <w:left w:val="nil"/>
              <w:bottom w:val="single" w:color="auto" w:sz="4" w:space="0"/>
              <w:right w:val="single" w:color="auto" w:sz="4" w:space="0"/>
            </w:tcBorders>
          </w:tcPr>
          <w:p>
            <w:pPr>
              <w:rPr>
                <w:rFonts w:ascii="宋体" w:hAnsi="宋体"/>
                <w:sz w:val="24"/>
              </w:rPr>
            </w:pPr>
            <w:r>
              <w:rPr>
                <w:rFonts w:hint="eastAsia" w:ascii="宋体" w:hAnsi="宋体"/>
                <w:sz w:val="24"/>
              </w:rPr>
              <w:t>根据投标人提出的</w:t>
            </w:r>
            <w:r>
              <w:rPr>
                <w:rFonts w:hint="eastAsia" w:ascii="宋体" w:hAnsi="宋体"/>
                <w:sz w:val="24"/>
                <w:lang w:val="en-US" w:eastAsia="zh-CN"/>
              </w:rPr>
              <w:t>对原“穗好办”移动服务APP</w:t>
            </w:r>
            <w:r>
              <w:rPr>
                <w:rFonts w:hint="eastAsia" w:ascii="宋体" w:hAnsi="宋体"/>
                <w:sz w:val="24"/>
              </w:rPr>
              <w:t>的</w:t>
            </w:r>
            <w:r>
              <w:rPr>
                <w:rFonts w:hint="eastAsia" w:ascii="宋体" w:hAnsi="宋体"/>
                <w:sz w:val="24"/>
                <w:lang w:val="en-US" w:eastAsia="zh-CN"/>
              </w:rPr>
              <w:t>扩充与迭代方法的</w:t>
            </w:r>
            <w:r>
              <w:rPr>
                <w:rFonts w:hint="eastAsia" w:ascii="宋体" w:hAnsi="宋体"/>
                <w:sz w:val="24"/>
              </w:rPr>
              <w:t>准确性、科学性</w:t>
            </w:r>
            <w:r>
              <w:rPr>
                <w:rFonts w:hint="eastAsia" w:ascii="宋体" w:hAnsi="宋体"/>
                <w:sz w:val="24"/>
                <w:lang w:eastAsia="zh-CN"/>
              </w:rPr>
              <w:t>、</w:t>
            </w:r>
            <w:r>
              <w:rPr>
                <w:rFonts w:hint="eastAsia" w:ascii="宋体" w:hAnsi="宋体"/>
                <w:sz w:val="24"/>
                <w:lang w:val="en-US" w:eastAsia="zh-CN"/>
              </w:rPr>
              <w:t>可操作性</w:t>
            </w:r>
            <w:r>
              <w:rPr>
                <w:rFonts w:hint="eastAsia" w:ascii="宋体" w:hAnsi="宋体"/>
                <w:sz w:val="24"/>
              </w:rPr>
              <w:t>等方面进行横向对比，对比最优得8-</w:t>
            </w:r>
            <w:r>
              <w:rPr>
                <w:rFonts w:ascii="宋体" w:hAnsi="宋体"/>
                <w:sz w:val="24"/>
              </w:rPr>
              <w:t>10</w:t>
            </w:r>
            <w:r>
              <w:rPr>
                <w:rFonts w:hint="eastAsia" w:ascii="宋体" w:hAnsi="宋体"/>
                <w:sz w:val="24"/>
              </w:rPr>
              <w:t>分，次之得5-</w:t>
            </w:r>
            <w:r>
              <w:rPr>
                <w:rFonts w:ascii="宋体" w:hAnsi="宋体"/>
                <w:sz w:val="24"/>
              </w:rPr>
              <w:t>7</w:t>
            </w:r>
            <w:r>
              <w:rPr>
                <w:rFonts w:hint="eastAsia" w:ascii="宋体" w:hAnsi="宋体"/>
                <w:sz w:val="24"/>
              </w:rPr>
              <w:t>分，一般得</w:t>
            </w:r>
            <w:r>
              <w:rPr>
                <w:rFonts w:ascii="宋体" w:hAnsi="宋体"/>
                <w:sz w:val="24"/>
              </w:rPr>
              <w:t>2</w:t>
            </w:r>
            <w:r>
              <w:rPr>
                <w:rFonts w:hint="eastAsia" w:ascii="宋体" w:hAnsi="宋体"/>
                <w:sz w:val="24"/>
              </w:rPr>
              <w:t>-</w:t>
            </w:r>
            <w:r>
              <w:rPr>
                <w:rFonts w:ascii="宋体" w:hAnsi="宋体"/>
                <w:sz w:val="24"/>
              </w:rPr>
              <w:t>4</w:t>
            </w:r>
            <w:r>
              <w:rPr>
                <w:rFonts w:hint="eastAsia" w:ascii="宋体" w:hAnsi="宋体"/>
                <w:sz w:val="24"/>
              </w:rPr>
              <w:t>分，最差得</w:t>
            </w:r>
            <w:r>
              <w:rPr>
                <w:rFonts w:ascii="宋体" w:hAnsi="宋体"/>
                <w:sz w:val="24"/>
              </w:rPr>
              <w:t>1</w:t>
            </w:r>
            <w:r>
              <w:rPr>
                <w:rFonts w:hint="eastAsia" w:ascii="宋体" w:hAnsi="宋体"/>
                <w:sz w:val="24"/>
              </w:rPr>
              <w:t>分。</w:t>
            </w:r>
          </w:p>
        </w:tc>
        <w:tc>
          <w:tcPr>
            <w:tcW w:w="1021" w:type="dxa"/>
            <w:tcBorders>
              <w:top w:val="nil"/>
              <w:left w:val="nil"/>
              <w:bottom w:val="single" w:color="auto" w:sz="4" w:space="0"/>
              <w:right w:val="single" w:color="auto" w:sz="4" w:space="0"/>
            </w:tcBorders>
            <w:vAlign w:val="center"/>
          </w:tcPr>
          <w:p>
            <w:pPr>
              <w:jc w:val="center"/>
              <w:rPr>
                <w:rFonts w:hint="eastAsia" w:ascii="宋体" w:hAnsi="宋体" w:eastAsia="宋体"/>
                <w:sz w:val="24"/>
                <w:szCs w:val="22"/>
                <w:lang w:val="en-US" w:eastAsia="zh-CN"/>
              </w:rPr>
            </w:pPr>
            <w:r>
              <w:rPr>
                <w:rFonts w:hint="eastAsia" w:ascii="宋体" w:hAnsi="宋体"/>
                <w:sz w:val="24"/>
                <w:szCs w:val="22"/>
                <w:lang w:val="en-US" w:eastAsia="zh-CN"/>
              </w:rPr>
              <w:t>10</w:t>
            </w:r>
          </w:p>
        </w:tc>
      </w:tr>
      <w:tr>
        <w:tblPrEx>
          <w:tblCellMar>
            <w:top w:w="0" w:type="dxa"/>
            <w:left w:w="108" w:type="dxa"/>
            <w:bottom w:w="0" w:type="dxa"/>
            <w:right w:w="108" w:type="dxa"/>
          </w:tblCellMar>
        </w:tblPrEx>
        <w:trPr>
          <w:trHeight w:val="291" w:hRule="atLeast"/>
        </w:trPr>
        <w:tc>
          <w:tcPr>
            <w:tcW w:w="75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ascii="宋体" w:hAnsi="宋体" w:cs="宋体"/>
                <w:kern w:val="0"/>
                <w:sz w:val="24"/>
              </w:rPr>
              <w:t>4</w:t>
            </w:r>
          </w:p>
        </w:tc>
        <w:tc>
          <w:tcPr>
            <w:tcW w:w="2222" w:type="dxa"/>
            <w:tcBorders>
              <w:top w:val="nil"/>
              <w:left w:val="nil"/>
              <w:bottom w:val="single" w:color="auto" w:sz="4" w:space="0"/>
              <w:right w:val="single" w:color="auto" w:sz="4" w:space="0"/>
            </w:tcBorders>
            <w:vAlign w:val="center"/>
          </w:tcPr>
          <w:p>
            <w:pPr>
              <w:rPr>
                <w:rFonts w:ascii="宋体" w:hAnsi="宋体"/>
                <w:sz w:val="24"/>
              </w:rPr>
            </w:pPr>
            <w:r>
              <w:rPr>
                <w:rFonts w:hint="eastAsia" w:ascii="宋体" w:hAnsi="宋体"/>
                <w:sz w:val="24"/>
              </w:rPr>
              <w:t>对</w:t>
            </w:r>
            <w:r>
              <w:rPr>
                <w:rFonts w:hint="eastAsia" w:ascii="宋体" w:hAnsi="宋体"/>
                <w:sz w:val="24"/>
                <w:lang w:val="en-US" w:eastAsia="zh-CN"/>
              </w:rPr>
              <w:t>广州市个人移动政务服务和公共服务事项的梳理和分析</w:t>
            </w:r>
          </w:p>
        </w:tc>
        <w:tc>
          <w:tcPr>
            <w:tcW w:w="4536" w:type="dxa"/>
            <w:tcBorders>
              <w:top w:val="nil"/>
              <w:left w:val="nil"/>
              <w:bottom w:val="single" w:color="auto" w:sz="4" w:space="0"/>
              <w:right w:val="single" w:color="auto" w:sz="4" w:space="0"/>
            </w:tcBorders>
          </w:tcPr>
          <w:p>
            <w:pPr>
              <w:rPr>
                <w:rFonts w:ascii="宋体" w:hAnsi="宋体"/>
                <w:sz w:val="24"/>
              </w:rPr>
            </w:pPr>
            <w:r>
              <w:rPr>
                <w:rFonts w:hint="eastAsia" w:ascii="宋体" w:hAnsi="宋体"/>
                <w:sz w:val="24"/>
              </w:rPr>
              <w:t>根据投标人提出的</w:t>
            </w:r>
            <w:r>
              <w:rPr>
                <w:rFonts w:hint="eastAsia" w:ascii="宋体" w:hAnsi="宋体"/>
                <w:sz w:val="24"/>
                <w:lang w:val="en-US" w:eastAsia="zh-CN"/>
              </w:rPr>
              <w:t>个人移动政务服务和公共服务</w:t>
            </w:r>
            <w:r>
              <w:rPr>
                <w:rFonts w:hint="eastAsia" w:ascii="宋体" w:hAnsi="宋体"/>
                <w:sz w:val="24"/>
              </w:rPr>
              <w:t>的</w:t>
            </w:r>
            <w:r>
              <w:rPr>
                <w:rFonts w:hint="eastAsia" w:ascii="宋体" w:hAnsi="宋体"/>
                <w:sz w:val="24"/>
                <w:lang w:val="en-US" w:eastAsia="zh-CN"/>
              </w:rPr>
              <w:t>梳理、</w:t>
            </w:r>
            <w:r>
              <w:rPr>
                <w:rFonts w:hint="eastAsia" w:ascii="宋体" w:hAnsi="宋体"/>
                <w:sz w:val="24"/>
              </w:rPr>
              <w:t>分析的准确性、合理性、科学性、可操作性等方面进行横向对比，对比最优得8-</w:t>
            </w:r>
            <w:r>
              <w:rPr>
                <w:rFonts w:ascii="宋体" w:hAnsi="宋体"/>
                <w:sz w:val="24"/>
              </w:rPr>
              <w:t>10</w:t>
            </w:r>
            <w:r>
              <w:rPr>
                <w:rFonts w:hint="eastAsia" w:ascii="宋体" w:hAnsi="宋体"/>
                <w:sz w:val="24"/>
              </w:rPr>
              <w:t>分，次之得5-</w:t>
            </w:r>
            <w:r>
              <w:rPr>
                <w:rFonts w:ascii="宋体" w:hAnsi="宋体"/>
                <w:sz w:val="24"/>
              </w:rPr>
              <w:t>7</w:t>
            </w:r>
            <w:r>
              <w:rPr>
                <w:rFonts w:hint="eastAsia" w:ascii="宋体" w:hAnsi="宋体"/>
                <w:sz w:val="24"/>
              </w:rPr>
              <w:t>分，一般得</w:t>
            </w:r>
            <w:r>
              <w:rPr>
                <w:rFonts w:ascii="宋体" w:hAnsi="宋体"/>
                <w:sz w:val="24"/>
              </w:rPr>
              <w:t>2</w:t>
            </w:r>
            <w:r>
              <w:rPr>
                <w:rFonts w:hint="eastAsia" w:ascii="宋体" w:hAnsi="宋体"/>
                <w:sz w:val="24"/>
              </w:rPr>
              <w:t>-</w:t>
            </w:r>
            <w:r>
              <w:rPr>
                <w:rFonts w:ascii="宋体" w:hAnsi="宋体"/>
                <w:sz w:val="24"/>
              </w:rPr>
              <w:t>4</w:t>
            </w:r>
            <w:r>
              <w:rPr>
                <w:rFonts w:hint="eastAsia" w:ascii="宋体" w:hAnsi="宋体"/>
                <w:sz w:val="24"/>
              </w:rPr>
              <w:t>分，最差得</w:t>
            </w:r>
            <w:r>
              <w:rPr>
                <w:rFonts w:ascii="宋体" w:hAnsi="宋体"/>
                <w:sz w:val="24"/>
              </w:rPr>
              <w:t>1</w:t>
            </w:r>
            <w:r>
              <w:rPr>
                <w:rFonts w:hint="eastAsia" w:ascii="宋体" w:hAnsi="宋体"/>
                <w:sz w:val="24"/>
              </w:rPr>
              <w:t>分。</w:t>
            </w:r>
          </w:p>
        </w:tc>
        <w:tc>
          <w:tcPr>
            <w:tcW w:w="1021" w:type="dxa"/>
            <w:tcBorders>
              <w:top w:val="nil"/>
              <w:left w:val="nil"/>
              <w:bottom w:val="single" w:color="auto" w:sz="4" w:space="0"/>
              <w:right w:val="single" w:color="auto" w:sz="4" w:space="0"/>
            </w:tcBorders>
            <w:vAlign w:val="center"/>
          </w:tcPr>
          <w:p>
            <w:pPr>
              <w:jc w:val="center"/>
              <w:rPr>
                <w:rFonts w:ascii="宋体" w:hAnsi="宋体"/>
                <w:sz w:val="24"/>
                <w:szCs w:val="22"/>
              </w:rPr>
            </w:pPr>
            <w:r>
              <w:rPr>
                <w:rFonts w:ascii="宋体" w:hAnsi="宋体"/>
                <w:sz w:val="24"/>
                <w:szCs w:val="22"/>
              </w:rPr>
              <w:t>10</w:t>
            </w:r>
          </w:p>
        </w:tc>
      </w:tr>
      <w:tr>
        <w:tblPrEx>
          <w:tblCellMar>
            <w:top w:w="0" w:type="dxa"/>
            <w:left w:w="108" w:type="dxa"/>
            <w:bottom w:w="0" w:type="dxa"/>
            <w:right w:w="108" w:type="dxa"/>
          </w:tblCellMar>
        </w:tblPrEx>
        <w:trPr>
          <w:trHeight w:val="388" w:hRule="atLeast"/>
        </w:trPr>
        <w:tc>
          <w:tcPr>
            <w:tcW w:w="7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ascii="宋体" w:hAnsi="宋体" w:cs="宋体"/>
                <w:kern w:val="0"/>
                <w:sz w:val="24"/>
              </w:rPr>
              <w:t>5</w:t>
            </w:r>
          </w:p>
        </w:tc>
        <w:tc>
          <w:tcPr>
            <w:tcW w:w="2222"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ascii="宋体" w:hAnsi="宋体"/>
                <w:sz w:val="24"/>
              </w:rPr>
              <w:t>对</w:t>
            </w:r>
            <w:r>
              <w:rPr>
                <w:rFonts w:hint="eastAsia" w:ascii="宋体" w:hAnsi="宋体"/>
                <w:sz w:val="24"/>
                <w:lang w:val="en-US" w:eastAsia="zh-CN"/>
              </w:rPr>
              <w:t>广州市企业移动政务服务</w:t>
            </w:r>
            <w:r>
              <w:rPr>
                <w:rFonts w:hint="eastAsia" w:ascii="宋体" w:hAnsi="宋体"/>
                <w:sz w:val="24"/>
              </w:rPr>
              <w:t>的理解和分析</w:t>
            </w:r>
          </w:p>
        </w:tc>
        <w:tc>
          <w:tcPr>
            <w:tcW w:w="4536" w:type="dxa"/>
            <w:tcBorders>
              <w:top w:val="single" w:color="auto" w:sz="4" w:space="0"/>
              <w:left w:val="nil"/>
              <w:bottom w:val="single" w:color="auto" w:sz="4" w:space="0"/>
              <w:right w:val="single" w:color="auto" w:sz="4" w:space="0"/>
            </w:tcBorders>
          </w:tcPr>
          <w:p>
            <w:pPr>
              <w:rPr>
                <w:rFonts w:ascii="宋体" w:hAnsi="宋体"/>
                <w:sz w:val="24"/>
              </w:rPr>
            </w:pPr>
            <w:r>
              <w:rPr>
                <w:rFonts w:hint="eastAsia" w:ascii="宋体" w:hAnsi="宋体"/>
                <w:sz w:val="24"/>
              </w:rPr>
              <w:t>根据投标人提出的</w:t>
            </w:r>
            <w:r>
              <w:rPr>
                <w:rFonts w:hint="eastAsia" w:ascii="宋体" w:hAnsi="宋体"/>
                <w:sz w:val="24"/>
                <w:lang w:val="en-US" w:eastAsia="zh-CN"/>
              </w:rPr>
              <w:t>企业移动政务服务</w:t>
            </w:r>
            <w:r>
              <w:rPr>
                <w:rFonts w:hint="eastAsia" w:ascii="宋体" w:hAnsi="宋体"/>
                <w:sz w:val="24"/>
              </w:rPr>
              <w:t>的理解、分析的准确性、合理性、科学性、可操作性等方面进行横向对比，对比最优得</w:t>
            </w:r>
            <w:r>
              <w:rPr>
                <w:rFonts w:ascii="宋体" w:hAnsi="宋体"/>
                <w:sz w:val="24"/>
              </w:rPr>
              <w:t>5</w:t>
            </w:r>
            <w:r>
              <w:rPr>
                <w:rFonts w:hint="eastAsia" w:ascii="宋体" w:hAnsi="宋体"/>
                <w:sz w:val="24"/>
              </w:rPr>
              <w:t xml:space="preserve"> 分，次之得3分，一般得</w:t>
            </w:r>
            <w:r>
              <w:rPr>
                <w:rFonts w:ascii="宋体" w:hAnsi="宋体"/>
                <w:sz w:val="24"/>
              </w:rPr>
              <w:t>2</w:t>
            </w:r>
            <w:r>
              <w:rPr>
                <w:rFonts w:hint="eastAsia" w:ascii="宋体" w:hAnsi="宋体"/>
                <w:sz w:val="24"/>
              </w:rPr>
              <w:t>分，最差得</w:t>
            </w:r>
            <w:r>
              <w:rPr>
                <w:rFonts w:ascii="宋体" w:hAnsi="宋体"/>
                <w:sz w:val="24"/>
              </w:rPr>
              <w:t>1</w:t>
            </w:r>
            <w:r>
              <w:rPr>
                <w:rFonts w:hint="eastAsia" w:ascii="宋体" w:hAnsi="宋体"/>
                <w:sz w:val="24"/>
              </w:rPr>
              <w:t>分。</w:t>
            </w:r>
          </w:p>
        </w:tc>
        <w:tc>
          <w:tcPr>
            <w:tcW w:w="1021"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2"/>
              </w:rPr>
            </w:pPr>
            <w:r>
              <w:rPr>
                <w:rFonts w:ascii="宋体" w:hAnsi="宋体"/>
                <w:sz w:val="24"/>
                <w:szCs w:val="22"/>
              </w:rPr>
              <w:t>5</w:t>
            </w:r>
          </w:p>
        </w:tc>
      </w:tr>
      <w:tr>
        <w:tblPrEx>
          <w:tblCellMar>
            <w:top w:w="0" w:type="dxa"/>
            <w:left w:w="108" w:type="dxa"/>
            <w:bottom w:w="0" w:type="dxa"/>
            <w:right w:w="108" w:type="dxa"/>
          </w:tblCellMar>
        </w:tblPrEx>
        <w:trPr>
          <w:trHeight w:val="388" w:hRule="atLeast"/>
        </w:trPr>
        <w:tc>
          <w:tcPr>
            <w:tcW w:w="7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6</w:t>
            </w:r>
          </w:p>
        </w:tc>
        <w:tc>
          <w:tcPr>
            <w:tcW w:w="2222"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对</w:t>
            </w:r>
            <w:r>
              <w:rPr>
                <w:rFonts w:hint="eastAsia" w:ascii="宋体" w:hAnsi="宋体"/>
                <w:sz w:val="24"/>
                <w:lang w:val="en-US" w:eastAsia="zh-CN"/>
              </w:rPr>
              <w:t>移动服务APP，小程序运营和推广体系</w:t>
            </w:r>
            <w:r>
              <w:rPr>
                <w:rFonts w:hint="eastAsia" w:ascii="宋体" w:hAnsi="宋体"/>
                <w:sz w:val="24"/>
              </w:rPr>
              <w:t>的理解和分析</w:t>
            </w:r>
          </w:p>
        </w:tc>
        <w:tc>
          <w:tcPr>
            <w:tcW w:w="4536" w:type="dxa"/>
            <w:tcBorders>
              <w:top w:val="single" w:color="auto" w:sz="4" w:space="0"/>
              <w:left w:val="nil"/>
              <w:bottom w:val="single" w:color="auto" w:sz="4" w:space="0"/>
              <w:right w:val="single" w:color="auto" w:sz="4" w:space="0"/>
            </w:tcBorders>
          </w:tcPr>
          <w:p>
            <w:pPr>
              <w:rPr>
                <w:rFonts w:ascii="宋体" w:hAnsi="宋体"/>
                <w:sz w:val="24"/>
              </w:rPr>
            </w:pPr>
            <w:r>
              <w:rPr>
                <w:rFonts w:hint="eastAsia" w:ascii="宋体" w:hAnsi="宋体"/>
                <w:sz w:val="24"/>
              </w:rPr>
              <w:t>根据投标人提出的</w:t>
            </w:r>
            <w:r>
              <w:rPr>
                <w:rFonts w:hint="eastAsia" w:ascii="宋体" w:hAnsi="宋体"/>
                <w:sz w:val="24"/>
                <w:lang w:val="en-US" w:eastAsia="zh-CN"/>
              </w:rPr>
              <w:t>移动服务APP，小程序运营和推广体系</w:t>
            </w:r>
            <w:r>
              <w:rPr>
                <w:rFonts w:hint="eastAsia" w:ascii="宋体" w:hAnsi="宋体"/>
                <w:sz w:val="24"/>
              </w:rPr>
              <w:t>的准确性、合理性、科学性、可操作性等方面进行横向对比，对比最优得</w:t>
            </w:r>
            <w:r>
              <w:rPr>
                <w:rFonts w:hint="eastAsia" w:ascii="宋体" w:hAnsi="宋体"/>
                <w:sz w:val="24"/>
                <w:lang w:val="en-US" w:eastAsia="zh-CN"/>
              </w:rPr>
              <w:t>5</w:t>
            </w:r>
            <w:r>
              <w:rPr>
                <w:rFonts w:hint="eastAsia" w:ascii="宋体" w:hAnsi="宋体"/>
                <w:sz w:val="24"/>
              </w:rPr>
              <w:t>分，次之得</w:t>
            </w:r>
            <w:r>
              <w:rPr>
                <w:rFonts w:hint="eastAsia" w:ascii="宋体" w:hAnsi="宋体"/>
                <w:sz w:val="24"/>
                <w:lang w:val="en-US" w:eastAsia="zh-CN"/>
              </w:rPr>
              <w:t>3</w:t>
            </w:r>
            <w:r>
              <w:rPr>
                <w:rFonts w:hint="eastAsia" w:ascii="宋体" w:hAnsi="宋体"/>
                <w:sz w:val="24"/>
              </w:rPr>
              <w:t>分，一般得</w:t>
            </w:r>
            <w:r>
              <w:rPr>
                <w:rFonts w:hint="eastAsia" w:ascii="宋体" w:hAnsi="宋体"/>
                <w:sz w:val="24"/>
                <w:lang w:val="en-US" w:eastAsia="zh-CN"/>
              </w:rPr>
              <w:t>2</w:t>
            </w:r>
            <w:r>
              <w:rPr>
                <w:rFonts w:hint="eastAsia" w:ascii="宋体" w:hAnsi="宋体"/>
                <w:sz w:val="24"/>
              </w:rPr>
              <w:t>分，最差得</w:t>
            </w:r>
            <w:r>
              <w:rPr>
                <w:rFonts w:ascii="宋体" w:hAnsi="宋体"/>
                <w:sz w:val="24"/>
              </w:rPr>
              <w:t>1</w:t>
            </w:r>
            <w:r>
              <w:rPr>
                <w:rFonts w:hint="eastAsia" w:ascii="宋体" w:hAnsi="宋体"/>
                <w:sz w:val="24"/>
              </w:rPr>
              <w:t>分。</w:t>
            </w:r>
          </w:p>
        </w:tc>
        <w:tc>
          <w:tcPr>
            <w:tcW w:w="102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sz w:val="24"/>
                <w:szCs w:val="22"/>
                <w:lang w:eastAsia="zh-CN"/>
              </w:rPr>
            </w:pPr>
            <w:r>
              <w:rPr>
                <w:rFonts w:hint="eastAsia" w:ascii="宋体" w:hAnsi="宋体"/>
                <w:sz w:val="24"/>
                <w:szCs w:val="22"/>
                <w:lang w:val="en-US" w:eastAsia="zh-CN"/>
              </w:rPr>
              <w:t>5</w:t>
            </w:r>
          </w:p>
        </w:tc>
      </w:tr>
      <w:tr>
        <w:tblPrEx>
          <w:tblCellMar>
            <w:top w:w="0" w:type="dxa"/>
            <w:left w:w="108" w:type="dxa"/>
            <w:bottom w:w="0" w:type="dxa"/>
            <w:right w:w="108" w:type="dxa"/>
          </w:tblCellMar>
        </w:tblPrEx>
        <w:trPr>
          <w:trHeight w:val="388" w:hRule="atLeast"/>
        </w:trPr>
        <w:tc>
          <w:tcPr>
            <w:tcW w:w="7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7</w:t>
            </w:r>
          </w:p>
        </w:tc>
        <w:tc>
          <w:tcPr>
            <w:tcW w:w="2222" w:type="dxa"/>
            <w:tcBorders>
              <w:top w:val="single" w:color="auto" w:sz="4" w:space="0"/>
              <w:left w:val="nil"/>
              <w:bottom w:val="single" w:color="auto" w:sz="4" w:space="0"/>
              <w:right w:val="single" w:color="auto" w:sz="4" w:space="0"/>
            </w:tcBorders>
            <w:vAlign w:val="center"/>
          </w:tcPr>
          <w:p>
            <w:pPr>
              <w:rPr>
                <w:rFonts w:hint="eastAsia" w:ascii="宋体" w:hAnsi="宋体"/>
                <w:sz w:val="24"/>
                <w:lang w:val="en-US" w:eastAsia="zh-CN"/>
              </w:rPr>
            </w:pPr>
            <w:r>
              <w:rPr>
                <w:rFonts w:hint="eastAsia" w:ascii="宋体" w:hAnsi="宋体"/>
                <w:sz w:val="24"/>
              </w:rPr>
              <w:t>对</w:t>
            </w:r>
            <w:r>
              <w:rPr>
                <w:rFonts w:hint="eastAsia" w:ascii="宋体" w:hAnsi="宋体"/>
                <w:sz w:val="24"/>
                <w:lang w:val="en-US" w:eastAsia="zh-CN"/>
              </w:rPr>
              <w:t>移动政务服务</w:t>
            </w:r>
            <w:r>
              <w:rPr>
                <w:rFonts w:hint="eastAsia" w:ascii="宋体" w:hAnsi="宋体"/>
                <w:sz w:val="24"/>
              </w:rPr>
              <w:t>信息与数据安全的理解和分析</w:t>
            </w:r>
          </w:p>
        </w:tc>
        <w:tc>
          <w:tcPr>
            <w:tcW w:w="4536" w:type="dxa"/>
            <w:tcBorders>
              <w:top w:val="single" w:color="auto" w:sz="4" w:space="0"/>
              <w:left w:val="nil"/>
              <w:bottom w:val="single" w:color="auto" w:sz="4" w:space="0"/>
              <w:right w:val="single" w:color="auto" w:sz="4" w:space="0"/>
            </w:tcBorders>
          </w:tcPr>
          <w:p>
            <w:pPr>
              <w:rPr>
                <w:rFonts w:ascii="宋体" w:hAnsi="宋体"/>
                <w:sz w:val="24"/>
              </w:rPr>
            </w:pPr>
            <w:r>
              <w:rPr>
                <w:rFonts w:hint="eastAsia" w:ascii="宋体" w:hAnsi="宋体"/>
                <w:sz w:val="24"/>
              </w:rPr>
              <w:t>根据投标人提出的</w:t>
            </w:r>
            <w:r>
              <w:rPr>
                <w:rFonts w:hint="eastAsia" w:ascii="宋体" w:hAnsi="宋体"/>
                <w:sz w:val="24"/>
                <w:lang w:val="en-US" w:eastAsia="zh-CN"/>
              </w:rPr>
              <w:t>移动政务服务</w:t>
            </w:r>
            <w:r>
              <w:rPr>
                <w:rFonts w:hint="eastAsia" w:ascii="宋体" w:hAnsi="宋体"/>
                <w:sz w:val="24"/>
              </w:rPr>
              <w:t>信息与数据安全的理解、分析的准确性、合理性、科学性、可操作性等方面进行横向对比，对比最优得</w:t>
            </w:r>
            <w:r>
              <w:rPr>
                <w:rFonts w:hint="eastAsia" w:ascii="宋体" w:hAnsi="宋体"/>
                <w:sz w:val="24"/>
                <w:lang w:val="en-US" w:eastAsia="zh-CN"/>
              </w:rPr>
              <w:t>5</w:t>
            </w:r>
            <w:r>
              <w:rPr>
                <w:rFonts w:hint="eastAsia" w:ascii="宋体" w:hAnsi="宋体"/>
                <w:sz w:val="24"/>
              </w:rPr>
              <w:t>分，次之得</w:t>
            </w:r>
            <w:r>
              <w:rPr>
                <w:rFonts w:hint="eastAsia" w:ascii="宋体" w:hAnsi="宋体"/>
                <w:sz w:val="24"/>
                <w:lang w:val="en-US" w:eastAsia="zh-CN"/>
              </w:rPr>
              <w:t>3</w:t>
            </w:r>
            <w:r>
              <w:rPr>
                <w:rFonts w:hint="eastAsia" w:ascii="宋体" w:hAnsi="宋体"/>
                <w:sz w:val="24"/>
              </w:rPr>
              <w:t>分，一般得</w:t>
            </w:r>
            <w:r>
              <w:rPr>
                <w:rFonts w:hint="eastAsia" w:ascii="宋体" w:hAnsi="宋体"/>
                <w:sz w:val="24"/>
                <w:lang w:val="en-US" w:eastAsia="zh-CN"/>
              </w:rPr>
              <w:t>2</w:t>
            </w:r>
            <w:r>
              <w:rPr>
                <w:rFonts w:hint="eastAsia" w:ascii="宋体" w:hAnsi="宋体"/>
                <w:sz w:val="24"/>
              </w:rPr>
              <w:t>分，最差得</w:t>
            </w:r>
            <w:r>
              <w:rPr>
                <w:rFonts w:ascii="宋体" w:hAnsi="宋体"/>
                <w:sz w:val="24"/>
              </w:rPr>
              <w:t>1</w:t>
            </w:r>
            <w:r>
              <w:rPr>
                <w:rFonts w:hint="eastAsia" w:ascii="宋体" w:hAnsi="宋体"/>
                <w:sz w:val="24"/>
              </w:rPr>
              <w:t>分。</w:t>
            </w:r>
          </w:p>
        </w:tc>
        <w:tc>
          <w:tcPr>
            <w:tcW w:w="102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sz w:val="24"/>
                <w:szCs w:val="22"/>
                <w:lang w:eastAsia="zh-CN"/>
              </w:rPr>
            </w:pPr>
            <w:r>
              <w:rPr>
                <w:rFonts w:hint="eastAsia" w:ascii="宋体" w:hAnsi="宋体"/>
                <w:sz w:val="24"/>
                <w:szCs w:val="22"/>
                <w:lang w:val="en-US" w:eastAsia="zh-CN"/>
              </w:rPr>
              <w:t>5</w:t>
            </w:r>
          </w:p>
        </w:tc>
      </w:tr>
    </w:tbl>
    <w:p>
      <w:pPr>
        <w:spacing w:line="360" w:lineRule="auto"/>
        <w:rPr>
          <w:rFonts w:ascii="宋体" w:hAnsi="宋体" w:cs="Arial"/>
          <w:sz w:val="24"/>
          <w:szCs w:val="28"/>
        </w:rPr>
      </w:pPr>
    </w:p>
    <w:p>
      <w:pPr>
        <w:spacing w:line="360" w:lineRule="auto"/>
        <w:jc w:val="center"/>
        <w:rPr>
          <w:rFonts w:ascii="宋体" w:hAnsi="宋体" w:cs="Arial"/>
          <w:b/>
          <w:sz w:val="24"/>
          <w:szCs w:val="28"/>
        </w:rPr>
      </w:pPr>
      <w:r>
        <w:rPr>
          <w:rFonts w:ascii="宋体" w:hAnsi="宋体" w:cs="Arial"/>
          <w:b/>
          <w:sz w:val="24"/>
          <w:szCs w:val="28"/>
        </w:rPr>
        <w:br w:type="page"/>
      </w:r>
      <w:r>
        <w:rPr>
          <w:rFonts w:hint="eastAsia" w:ascii="宋体" w:hAnsi="宋体" w:cs="Arial"/>
          <w:b/>
          <w:sz w:val="24"/>
          <w:szCs w:val="28"/>
        </w:rPr>
        <w:t>表三、商务部分响应评分表</w:t>
      </w:r>
    </w:p>
    <w:p>
      <w:pPr>
        <w:spacing w:line="360" w:lineRule="auto"/>
        <w:rPr>
          <w:rFonts w:ascii="宋体" w:hAnsi="宋体" w:cs="Arial"/>
          <w:b/>
          <w:sz w:val="24"/>
          <w:szCs w:val="28"/>
        </w:rPr>
      </w:pPr>
    </w:p>
    <w:p>
      <w:pPr>
        <w:spacing w:line="360" w:lineRule="auto"/>
        <w:rPr>
          <w:rFonts w:ascii="宋体" w:hAnsi="宋体" w:cs="Arial"/>
          <w:sz w:val="24"/>
          <w:szCs w:val="28"/>
        </w:rPr>
      </w:pPr>
      <w:r>
        <w:rPr>
          <w:rFonts w:hint="eastAsia" w:ascii="宋体" w:hAnsi="宋体" w:cs="Arial"/>
          <w:b/>
          <w:sz w:val="24"/>
          <w:szCs w:val="28"/>
        </w:rPr>
        <w:t xml:space="preserve">投标人:                   </w:t>
      </w:r>
      <w:r>
        <w:rPr>
          <w:rFonts w:hint="eastAsia" w:ascii="宋体" w:hAnsi="宋体" w:cs="Arial"/>
          <w:b/>
          <w:bCs/>
          <w:sz w:val="24"/>
          <w:szCs w:val="28"/>
        </w:rPr>
        <w:t xml:space="preserve">评分合计:              </w:t>
      </w:r>
      <w:r>
        <w:rPr>
          <w:rFonts w:hint="eastAsia" w:ascii="宋体" w:hAnsi="宋体" w:cs="Arial"/>
          <w:b/>
          <w:sz w:val="24"/>
          <w:szCs w:val="28"/>
        </w:rPr>
        <w:t>评委签字：</w:t>
      </w:r>
      <w:r>
        <w:rPr>
          <w:rFonts w:hint="eastAsia" w:ascii="宋体" w:hAnsi="宋体" w:cs="Arial"/>
          <w:b/>
          <w:bCs/>
          <w:sz w:val="24"/>
          <w:szCs w:val="28"/>
        </w:rPr>
        <w:t xml:space="preserve">  </w:t>
      </w:r>
    </w:p>
    <w:tbl>
      <w:tblPr>
        <w:tblStyle w:val="2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229"/>
        <w:gridCol w:w="4536"/>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 w:hRule="atLeast"/>
          <w:tblHeader/>
        </w:trPr>
        <w:tc>
          <w:tcPr>
            <w:tcW w:w="743" w:type="dxa"/>
            <w:vAlign w:val="center"/>
          </w:tcPr>
          <w:p>
            <w:pPr>
              <w:widowControl/>
              <w:snapToGrid w:val="0"/>
              <w:spacing w:line="360" w:lineRule="auto"/>
              <w:jc w:val="center"/>
              <w:rPr>
                <w:rFonts w:ascii="宋体" w:hAnsi="宋体" w:cs="宋体"/>
                <w:b/>
                <w:kern w:val="0"/>
                <w:sz w:val="24"/>
              </w:rPr>
            </w:pPr>
            <w:r>
              <w:rPr>
                <w:rFonts w:hint="eastAsia" w:ascii="宋体" w:hAnsi="宋体" w:cs="宋体"/>
                <w:b/>
                <w:kern w:val="0"/>
                <w:sz w:val="24"/>
              </w:rPr>
              <w:t>序号</w:t>
            </w:r>
          </w:p>
        </w:tc>
        <w:tc>
          <w:tcPr>
            <w:tcW w:w="2229" w:type="dxa"/>
            <w:vAlign w:val="center"/>
          </w:tcPr>
          <w:p>
            <w:pPr>
              <w:widowControl/>
              <w:snapToGrid w:val="0"/>
              <w:spacing w:line="360" w:lineRule="auto"/>
              <w:jc w:val="center"/>
              <w:rPr>
                <w:rFonts w:ascii="宋体" w:hAnsi="宋体" w:cs="宋体"/>
                <w:b/>
                <w:kern w:val="0"/>
                <w:sz w:val="24"/>
              </w:rPr>
            </w:pPr>
            <w:r>
              <w:rPr>
                <w:rFonts w:hint="eastAsia" w:ascii="宋体" w:hAnsi="宋体" w:cs="宋体"/>
                <w:b/>
                <w:kern w:val="0"/>
                <w:sz w:val="24"/>
              </w:rPr>
              <w:t>评审内容</w:t>
            </w:r>
          </w:p>
        </w:tc>
        <w:tc>
          <w:tcPr>
            <w:tcW w:w="4536" w:type="dxa"/>
            <w:vAlign w:val="center"/>
          </w:tcPr>
          <w:p>
            <w:pPr>
              <w:widowControl/>
              <w:snapToGrid w:val="0"/>
              <w:spacing w:line="360" w:lineRule="auto"/>
              <w:jc w:val="center"/>
              <w:rPr>
                <w:rFonts w:ascii="宋体" w:hAnsi="宋体" w:cs="宋体"/>
                <w:b/>
                <w:kern w:val="0"/>
                <w:sz w:val="24"/>
              </w:rPr>
            </w:pPr>
            <w:r>
              <w:rPr>
                <w:rFonts w:hint="eastAsia" w:ascii="宋体" w:hAnsi="宋体" w:cs="宋体"/>
                <w:b/>
                <w:kern w:val="0"/>
                <w:sz w:val="24"/>
              </w:rPr>
              <w:t>评分细则</w:t>
            </w:r>
          </w:p>
        </w:tc>
        <w:tc>
          <w:tcPr>
            <w:tcW w:w="1021" w:type="dxa"/>
            <w:vAlign w:val="center"/>
          </w:tcPr>
          <w:p>
            <w:pPr>
              <w:widowControl/>
              <w:snapToGrid w:val="0"/>
              <w:spacing w:line="360" w:lineRule="auto"/>
              <w:jc w:val="center"/>
              <w:rPr>
                <w:rFonts w:ascii="宋体" w:hAnsi="宋体" w:cs="宋体"/>
                <w:b/>
                <w:kern w:val="0"/>
                <w:sz w:val="24"/>
              </w:rPr>
            </w:pPr>
            <w:r>
              <w:rPr>
                <w:rFonts w:hint="eastAsia" w:ascii="宋体" w:hAnsi="宋体" w:cs="宋体"/>
                <w:b/>
                <w:kern w:val="0"/>
                <w:sz w:val="24"/>
              </w:rPr>
              <w:t>分值（</w:t>
            </w:r>
            <w:r>
              <w:rPr>
                <w:rFonts w:ascii="宋体" w:hAnsi="宋体" w:cs="宋体"/>
                <w:b/>
                <w:kern w:val="0"/>
                <w:sz w:val="24"/>
              </w:rPr>
              <w:t>4</w:t>
            </w:r>
            <w:r>
              <w:rPr>
                <w:rFonts w:hint="eastAsia" w:ascii="宋体" w:hAnsi="宋体" w:cs="宋体"/>
                <w:b/>
                <w:kern w:val="0"/>
                <w:sz w:val="24"/>
                <w:lang w:val="en-US" w:eastAsia="zh-CN"/>
              </w:rPr>
              <w:t>5</w:t>
            </w:r>
            <w:r>
              <w:rPr>
                <w:rFonts w:hint="eastAsia" w:ascii="宋体" w:hAnsi="宋体" w:cs="宋体"/>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trPr>
        <w:tc>
          <w:tcPr>
            <w:tcW w:w="743" w:type="dxa"/>
            <w:vAlign w:val="center"/>
          </w:tcPr>
          <w:p>
            <w:pPr>
              <w:spacing w:line="360" w:lineRule="auto"/>
              <w:jc w:val="center"/>
              <w:rPr>
                <w:rFonts w:ascii="宋体" w:hAnsi="宋体" w:cs="宋体"/>
                <w:sz w:val="24"/>
              </w:rPr>
            </w:pPr>
            <w:bookmarkStart w:id="123" w:name="_Hlk4448370"/>
            <w:r>
              <w:rPr>
                <w:rFonts w:hint="eastAsia" w:ascii="宋体" w:hAnsi="宋体" w:cs="宋体"/>
                <w:sz w:val="24"/>
              </w:rPr>
              <w:t>1</w:t>
            </w:r>
          </w:p>
        </w:tc>
        <w:tc>
          <w:tcPr>
            <w:tcW w:w="2229" w:type="dxa"/>
            <w:vAlign w:val="center"/>
          </w:tcPr>
          <w:p>
            <w:pPr>
              <w:spacing w:line="360" w:lineRule="auto"/>
              <w:jc w:val="left"/>
              <w:rPr>
                <w:rFonts w:ascii="宋体" w:hAnsi="宋体" w:cs="宋体"/>
                <w:sz w:val="24"/>
              </w:rPr>
            </w:pPr>
            <w:r>
              <w:rPr>
                <w:rFonts w:hint="eastAsia" w:ascii="宋体" w:hAnsi="宋体" w:cs="宋体"/>
                <w:sz w:val="24"/>
              </w:rPr>
              <w:t>投标人综合能力</w:t>
            </w:r>
          </w:p>
        </w:tc>
        <w:tc>
          <w:tcPr>
            <w:tcW w:w="4536" w:type="dxa"/>
            <w:vAlign w:val="center"/>
          </w:tcPr>
          <w:p>
            <w:pPr>
              <w:spacing w:line="360" w:lineRule="auto"/>
              <w:jc w:val="left"/>
              <w:rPr>
                <w:rFonts w:ascii="宋体" w:hAnsi="宋体" w:cs="宋体"/>
                <w:sz w:val="24"/>
              </w:rPr>
            </w:pPr>
            <w:r>
              <w:rPr>
                <w:rFonts w:hint="eastAsia" w:ascii="宋体" w:hAnsi="宋体" w:cs="宋体"/>
                <w:sz w:val="24"/>
              </w:rPr>
              <w:t>（1）具有中国工程咨询协会颁发的工程咨询单位甲级资信评价证书得</w:t>
            </w:r>
            <w:r>
              <w:rPr>
                <w:rFonts w:hint="eastAsia" w:ascii="宋体" w:hAnsi="宋体" w:cs="宋体"/>
                <w:sz w:val="24"/>
                <w:lang w:val="en-US" w:eastAsia="zh-CN"/>
              </w:rPr>
              <w:t>3</w:t>
            </w:r>
            <w:r>
              <w:rPr>
                <w:rFonts w:hint="eastAsia" w:ascii="宋体" w:hAnsi="宋体" w:cs="宋体"/>
                <w:sz w:val="24"/>
              </w:rPr>
              <w:t>分，具有省级协会颁发的工程咨询单位乙级得</w:t>
            </w:r>
            <w:r>
              <w:rPr>
                <w:rFonts w:hint="eastAsia" w:ascii="宋体" w:hAnsi="宋体" w:cs="宋体"/>
                <w:sz w:val="24"/>
                <w:lang w:val="en-US" w:eastAsia="zh-CN"/>
              </w:rPr>
              <w:t>1</w:t>
            </w:r>
            <w:r>
              <w:rPr>
                <w:rFonts w:hint="eastAsia" w:ascii="宋体" w:hAnsi="宋体" w:cs="宋体"/>
                <w:sz w:val="24"/>
              </w:rPr>
              <w:t>分；</w:t>
            </w:r>
          </w:p>
          <w:p>
            <w:pPr>
              <w:spacing w:line="360" w:lineRule="auto"/>
              <w:jc w:val="left"/>
              <w:rPr>
                <w:rFonts w:ascii="宋体" w:hAnsi="宋体" w:cs="宋体"/>
                <w:sz w:val="24"/>
              </w:rPr>
            </w:pPr>
            <w:r>
              <w:rPr>
                <w:rFonts w:hint="eastAsia" w:ascii="宋体" w:hAnsi="宋体" w:cs="宋体"/>
                <w:sz w:val="24"/>
              </w:rPr>
              <w:t>（2）具有有效的商品售后服务认证证书，认证范围需含：信息系统工程监理及相关信息技术服务、IT审计，得</w:t>
            </w:r>
            <w:r>
              <w:rPr>
                <w:rFonts w:ascii="宋体" w:hAnsi="宋体" w:cs="宋体"/>
                <w:sz w:val="24"/>
              </w:rPr>
              <w:t>3</w:t>
            </w:r>
            <w:r>
              <w:rPr>
                <w:rFonts w:hint="eastAsia" w:ascii="宋体" w:hAnsi="宋体" w:cs="宋体"/>
                <w:sz w:val="24"/>
              </w:rPr>
              <w:t>分；</w:t>
            </w:r>
          </w:p>
          <w:p>
            <w:pPr>
              <w:spacing w:line="360" w:lineRule="auto"/>
              <w:jc w:val="left"/>
              <w:rPr>
                <w:rFonts w:ascii="宋体" w:hAnsi="宋体" w:cs="宋体"/>
                <w:sz w:val="24"/>
              </w:rPr>
            </w:pPr>
            <w:r>
              <w:rPr>
                <w:rFonts w:hint="eastAsia" w:ascii="宋体" w:hAnsi="宋体" w:cs="宋体"/>
                <w:sz w:val="24"/>
              </w:rPr>
              <w:t>（3）具有有效期内的ISO9001质量管理体系认证证书，且认证范围覆盖工程咨询（通信信息）及相关信息技术服务，得</w:t>
            </w:r>
            <w:r>
              <w:rPr>
                <w:rFonts w:ascii="宋体" w:hAnsi="宋体" w:cs="宋体"/>
                <w:sz w:val="24"/>
              </w:rPr>
              <w:t>1</w:t>
            </w:r>
            <w:r>
              <w:rPr>
                <w:rFonts w:hint="eastAsia" w:ascii="宋体" w:hAnsi="宋体" w:cs="宋体"/>
                <w:sz w:val="24"/>
              </w:rPr>
              <w:t>分；</w:t>
            </w:r>
          </w:p>
          <w:p>
            <w:pPr>
              <w:spacing w:line="360" w:lineRule="auto"/>
              <w:jc w:val="left"/>
              <w:rPr>
                <w:rFonts w:ascii="宋体" w:hAnsi="宋体" w:cs="宋体"/>
                <w:sz w:val="24"/>
              </w:rPr>
            </w:pPr>
            <w:r>
              <w:rPr>
                <w:rFonts w:hint="eastAsia" w:ascii="宋体" w:hAnsi="宋体" w:cs="宋体"/>
                <w:sz w:val="24"/>
              </w:rPr>
              <w:t>（4）具有有效期内的ISO</w:t>
            </w:r>
            <w:r>
              <w:rPr>
                <w:rFonts w:ascii="宋体" w:hAnsi="宋体" w:cs="宋体"/>
                <w:sz w:val="24"/>
              </w:rPr>
              <w:t>14</w:t>
            </w:r>
            <w:r>
              <w:rPr>
                <w:rFonts w:hint="eastAsia" w:ascii="宋体" w:hAnsi="宋体" w:cs="宋体"/>
                <w:sz w:val="24"/>
              </w:rPr>
              <w:t>001环境管理体系认证证书，且认证范围覆盖工程咨询（通信信息）及相关信息技术服务，得</w:t>
            </w:r>
            <w:r>
              <w:rPr>
                <w:rFonts w:ascii="宋体" w:hAnsi="宋体" w:cs="宋体"/>
                <w:sz w:val="24"/>
              </w:rPr>
              <w:t>1</w:t>
            </w:r>
            <w:r>
              <w:rPr>
                <w:rFonts w:hint="eastAsia" w:ascii="宋体" w:hAnsi="宋体" w:cs="宋体"/>
                <w:sz w:val="24"/>
              </w:rPr>
              <w:t>分；</w:t>
            </w:r>
          </w:p>
          <w:p>
            <w:pPr>
              <w:spacing w:line="360" w:lineRule="auto"/>
              <w:jc w:val="left"/>
              <w:rPr>
                <w:rFonts w:hint="eastAsia" w:ascii="宋体" w:hAnsi="宋体" w:cs="宋体"/>
                <w:sz w:val="24"/>
              </w:rPr>
            </w:pPr>
            <w:r>
              <w:rPr>
                <w:rFonts w:hint="eastAsia" w:ascii="宋体" w:hAnsi="宋体" w:cs="宋体"/>
                <w:sz w:val="24"/>
              </w:rPr>
              <w:t>（5）具有有效期内的ISO</w:t>
            </w:r>
            <w:r>
              <w:rPr>
                <w:rFonts w:ascii="宋体" w:hAnsi="宋体" w:cs="宋体"/>
                <w:sz w:val="24"/>
              </w:rPr>
              <w:t>45</w:t>
            </w:r>
            <w:r>
              <w:rPr>
                <w:rFonts w:hint="eastAsia" w:ascii="宋体" w:hAnsi="宋体" w:cs="宋体"/>
                <w:sz w:val="24"/>
              </w:rPr>
              <w:t>001职业健康安全管理体系认证证书，且认证范围覆盖工程咨询（通信信息）及相关信息技术服务，得</w:t>
            </w:r>
            <w:r>
              <w:rPr>
                <w:rFonts w:ascii="宋体" w:hAnsi="宋体" w:cs="宋体"/>
                <w:sz w:val="24"/>
              </w:rPr>
              <w:t>1</w:t>
            </w:r>
            <w:r>
              <w:rPr>
                <w:rFonts w:hint="eastAsia" w:ascii="宋体" w:hAnsi="宋体" w:cs="宋体"/>
                <w:sz w:val="24"/>
              </w:rPr>
              <w:t>分；</w:t>
            </w:r>
          </w:p>
          <w:p>
            <w:pPr>
              <w:autoSpaceDE w:val="0"/>
              <w:autoSpaceDN w:val="0"/>
              <w:spacing w:line="360" w:lineRule="auto"/>
              <w:rPr>
                <w:rFonts w:hint="eastAsia" w:ascii="宋体" w:hAnsi="宋体"/>
                <w:sz w:val="24"/>
              </w:rPr>
            </w:pPr>
            <w:r>
              <w:rPr>
                <w:rFonts w:hint="eastAsia" w:ascii="宋体" w:hAnsi="宋体" w:cs="宋体"/>
                <w:sz w:val="24"/>
              </w:rPr>
              <w:t>（</w:t>
            </w:r>
            <w:r>
              <w:rPr>
                <w:rFonts w:ascii="宋体" w:hAnsi="宋体" w:cs="宋体"/>
                <w:sz w:val="24"/>
              </w:rPr>
              <w:t>6</w:t>
            </w:r>
            <w:r>
              <w:rPr>
                <w:rFonts w:hint="eastAsia" w:ascii="宋体" w:hAnsi="宋体" w:cs="宋体"/>
                <w:sz w:val="24"/>
              </w:rPr>
              <w:t>）具有中国电子企业协会颁发的信息系统工程监理单位证书，甲级得</w:t>
            </w:r>
            <w:r>
              <w:rPr>
                <w:rFonts w:hint="eastAsia" w:ascii="宋体" w:hAnsi="宋体" w:cs="宋体"/>
                <w:sz w:val="24"/>
                <w:lang w:val="en-US" w:eastAsia="zh-CN"/>
              </w:rPr>
              <w:t>2</w:t>
            </w:r>
            <w:r>
              <w:rPr>
                <w:rFonts w:hint="eastAsia" w:ascii="宋体" w:hAnsi="宋体" w:cs="宋体"/>
                <w:sz w:val="24"/>
              </w:rPr>
              <w:t>分，乙级得</w:t>
            </w:r>
            <w:r>
              <w:rPr>
                <w:rFonts w:hint="eastAsia" w:ascii="宋体" w:hAnsi="宋体" w:cs="宋体"/>
                <w:sz w:val="24"/>
                <w:lang w:val="en-US" w:eastAsia="zh-CN"/>
              </w:rPr>
              <w:t>1</w:t>
            </w:r>
            <w:r>
              <w:rPr>
                <w:rFonts w:hint="eastAsia" w:ascii="宋体" w:hAnsi="宋体" w:cs="宋体"/>
                <w:sz w:val="24"/>
              </w:rPr>
              <w:t>分，其他得0分。</w:t>
            </w:r>
          </w:p>
        </w:tc>
        <w:tc>
          <w:tcPr>
            <w:tcW w:w="1021" w:type="dxa"/>
            <w:vAlign w:val="center"/>
          </w:tcPr>
          <w:p>
            <w:pPr>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trPr>
        <w:tc>
          <w:tcPr>
            <w:tcW w:w="743" w:type="dxa"/>
            <w:vAlign w:val="center"/>
          </w:tcPr>
          <w:p>
            <w:pPr>
              <w:spacing w:line="360" w:lineRule="auto"/>
              <w:jc w:val="center"/>
              <w:rPr>
                <w:rFonts w:hint="eastAsia" w:ascii="宋体" w:hAnsi="宋体" w:cs="宋体"/>
                <w:sz w:val="24"/>
              </w:rPr>
            </w:pPr>
            <w:r>
              <w:rPr>
                <w:rFonts w:hint="eastAsia" w:ascii="宋体" w:hAnsi="宋体" w:cs="宋体"/>
                <w:sz w:val="24"/>
              </w:rPr>
              <w:t>2</w:t>
            </w:r>
          </w:p>
        </w:tc>
        <w:tc>
          <w:tcPr>
            <w:tcW w:w="2229" w:type="dxa"/>
            <w:vAlign w:val="center"/>
          </w:tcPr>
          <w:p>
            <w:pPr>
              <w:spacing w:line="360" w:lineRule="auto"/>
              <w:jc w:val="left"/>
              <w:rPr>
                <w:rFonts w:hint="eastAsia" w:ascii="宋体" w:hAnsi="宋体" w:cs="宋体"/>
                <w:sz w:val="24"/>
              </w:rPr>
            </w:pPr>
            <w:r>
              <w:rPr>
                <w:rFonts w:hint="eastAsia" w:ascii="宋体" w:hAnsi="宋体" w:cs="宋体"/>
                <w:sz w:val="24"/>
              </w:rPr>
              <w:t>投标人信誉</w:t>
            </w:r>
          </w:p>
        </w:tc>
        <w:tc>
          <w:tcPr>
            <w:tcW w:w="4536" w:type="dxa"/>
            <w:vAlign w:val="center"/>
          </w:tcPr>
          <w:p>
            <w:pPr>
              <w:spacing w:line="360" w:lineRule="auto"/>
              <w:jc w:val="left"/>
              <w:rPr>
                <w:rFonts w:hint="eastAsia" w:ascii="宋体" w:hAnsi="宋体" w:cs="宋体"/>
                <w:sz w:val="24"/>
              </w:rPr>
            </w:pPr>
            <w:r>
              <w:rPr>
                <w:rFonts w:hint="eastAsia" w:ascii="宋体" w:hAnsi="宋体" w:cs="宋体"/>
                <w:sz w:val="24"/>
              </w:rPr>
              <w:t>（1）具有人民银行“征信业务经营备案”机构颁发的企业信用等级证书，得</w:t>
            </w:r>
            <w:r>
              <w:rPr>
                <w:rFonts w:ascii="宋体" w:hAnsi="宋体" w:cs="宋体"/>
                <w:sz w:val="24"/>
              </w:rPr>
              <w:t>1</w:t>
            </w:r>
            <w:r>
              <w:rPr>
                <w:rFonts w:hint="eastAsia" w:ascii="宋体" w:hAnsi="宋体" w:cs="宋体"/>
                <w:sz w:val="24"/>
              </w:rPr>
              <w:t>分，同时提供中国商务信用平台（http://www.bcpcn.com）网页查询截图，加2分；</w:t>
            </w:r>
          </w:p>
          <w:p>
            <w:pPr>
              <w:spacing w:line="360" w:lineRule="auto"/>
              <w:jc w:val="left"/>
              <w:rPr>
                <w:rFonts w:hint="eastAsia" w:ascii="宋体" w:hAnsi="宋体" w:cs="宋体"/>
                <w:sz w:val="24"/>
              </w:rPr>
            </w:pPr>
            <w:r>
              <w:rPr>
                <w:rFonts w:hint="eastAsia" w:ascii="宋体" w:hAnsi="宋体" w:cs="宋体"/>
                <w:sz w:val="24"/>
              </w:rPr>
              <w:t>（2）自2015年以来获得省级或全国性行业协会颁发的信息化咨询、监理相关奖项，每个得</w:t>
            </w:r>
            <w:r>
              <w:rPr>
                <w:rFonts w:ascii="宋体" w:hAnsi="宋体" w:cs="宋体"/>
                <w:sz w:val="24"/>
              </w:rPr>
              <w:t>1</w:t>
            </w:r>
            <w:r>
              <w:rPr>
                <w:rFonts w:hint="eastAsia" w:ascii="宋体" w:hAnsi="宋体" w:cs="宋体"/>
                <w:sz w:val="24"/>
              </w:rPr>
              <w:t>分，最高得</w:t>
            </w:r>
            <w:r>
              <w:rPr>
                <w:rFonts w:hint="eastAsia" w:ascii="宋体" w:hAnsi="宋体" w:cs="宋体"/>
                <w:sz w:val="24"/>
                <w:lang w:val="en-US" w:eastAsia="zh-CN"/>
              </w:rPr>
              <w:t>3</w:t>
            </w:r>
            <w:r>
              <w:rPr>
                <w:rFonts w:hint="eastAsia" w:ascii="宋体" w:hAnsi="宋体" w:cs="宋体"/>
                <w:sz w:val="24"/>
              </w:rPr>
              <w:t>分；</w:t>
            </w:r>
          </w:p>
        </w:tc>
        <w:tc>
          <w:tcPr>
            <w:tcW w:w="1021" w:type="dxa"/>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trPr>
        <w:tc>
          <w:tcPr>
            <w:tcW w:w="743" w:type="dxa"/>
            <w:vAlign w:val="center"/>
          </w:tcPr>
          <w:p>
            <w:pPr>
              <w:spacing w:line="360" w:lineRule="auto"/>
              <w:jc w:val="center"/>
              <w:rPr>
                <w:rFonts w:ascii="宋体" w:hAnsi="宋体" w:cs="宋体"/>
                <w:sz w:val="24"/>
              </w:rPr>
            </w:pPr>
            <w:r>
              <w:rPr>
                <w:rFonts w:ascii="宋体" w:hAnsi="宋体" w:cs="宋体"/>
                <w:sz w:val="24"/>
              </w:rPr>
              <w:t>3</w:t>
            </w:r>
          </w:p>
        </w:tc>
        <w:tc>
          <w:tcPr>
            <w:tcW w:w="2229" w:type="dxa"/>
            <w:vAlign w:val="center"/>
          </w:tcPr>
          <w:p>
            <w:pPr>
              <w:spacing w:line="360" w:lineRule="auto"/>
              <w:jc w:val="left"/>
              <w:rPr>
                <w:rFonts w:ascii="宋体" w:hAnsi="宋体" w:cs="宋体"/>
                <w:sz w:val="24"/>
              </w:rPr>
            </w:pPr>
            <w:r>
              <w:rPr>
                <w:rFonts w:hint="eastAsia" w:ascii="宋体" w:hAnsi="宋体" w:cs="宋体"/>
                <w:sz w:val="24"/>
              </w:rPr>
              <w:t>项目经验（以提供合同关键页（签约时间、项目名称、金额及双方盖章）复印件作为证明材料加盖公章）</w:t>
            </w:r>
          </w:p>
        </w:tc>
        <w:tc>
          <w:tcPr>
            <w:tcW w:w="4536" w:type="dxa"/>
            <w:vAlign w:val="center"/>
          </w:tcPr>
          <w:p>
            <w:pPr>
              <w:spacing w:line="360" w:lineRule="auto"/>
              <w:jc w:val="left"/>
              <w:rPr>
                <w:rFonts w:hint="eastAsia" w:ascii="宋体" w:hAnsi="宋体" w:cs="宋体"/>
                <w:sz w:val="24"/>
              </w:rPr>
            </w:pPr>
            <w:r>
              <w:rPr>
                <w:rFonts w:hint="eastAsia" w:ascii="宋体" w:hAnsi="宋体" w:cs="宋体"/>
                <w:sz w:val="24"/>
              </w:rPr>
              <w:t>以投标人提供的近三年（2016年1月1日以来，以合同签订时间为准）同类项目业绩的合同复印件为依据。</w:t>
            </w:r>
          </w:p>
          <w:p>
            <w:pPr>
              <w:spacing w:line="360" w:lineRule="auto"/>
              <w:jc w:val="left"/>
              <w:rPr>
                <w:rFonts w:hint="eastAsia" w:ascii="宋体" w:hAnsi="宋体" w:cs="宋体"/>
                <w:sz w:val="24"/>
              </w:rPr>
            </w:pPr>
            <w:r>
              <w:rPr>
                <w:rFonts w:hint="eastAsia" w:ascii="宋体" w:hAnsi="宋体" w:cs="宋体"/>
                <w:sz w:val="24"/>
              </w:rPr>
              <w:t>每个有效业绩得1分，最高</w:t>
            </w:r>
            <w:r>
              <w:rPr>
                <w:rFonts w:hint="eastAsia" w:ascii="宋体" w:hAnsi="宋体" w:cs="宋体"/>
                <w:sz w:val="24"/>
                <w:lang w:val="en-US" w:eastAsia="zh-CN"/>
              </w:rPr>
              <w:t>6</w:t>
            </w:r>
            <w:r>
              <w:rPr>
                <w:rFonts w:hint="eastAsia" w:ascii="宋体" w:hAnsi="宋体" w:cs="宋体"/>
                <w:sz w:val="24"/>
              </w:rPr>
              <w:t>分</w:t>
            </w:r>
            <w:r>
              <w:rPr>
                <w:rFonts w:hint="eastAsia" w:ascii="宋体" w:hAnsi="宋体" w:cs="宋体"/>
                <w:sz w:val="24"/>
                <w:lang w:eastAsia="zh-CN"/>
              </w:rPr>
              <w:t>；</w:t>
            </w:r>
            <w:r>
              <w:rPr>
                <w:rFonts w:hint="eastAsia" w:ascii="宋体" w:hAnsi="宋体" w:cs="宋体"/>
                <w:sz w:val="24"/>
                <w:lang w:val="en-US" w:eastAsia="zh-CN"/>
              </w:rPr>
              <w:t>其中如有移动政务服务类项目业绩加2分；</w:t>
            </w:r>
            <w:r>
              <w:rPr>
                <w:rFonts w:hint="eastAsia" w:ascii="宋体" w:hAnsi="宋体" w:cs="宋体"/>
                <w:sz w:val="24"/>
              </w:rPr>
              <w:t>不能提供合同复印件不能得分。</w:t>
            </w:r>
          </w:p>
          <w:p>
            <w:pPr>
              <w:spacing w:line="360" w:lineRule="auto"/>
              <w:jc w:val="left"/>
              <w:rPr>
                <w:rFonts w:hint="eastAsia" w:ascii="宋体" w:hAnsi="宋体" w:cs="宋体"/>
                <w:sz w:val="24"/>
              </w:rPr>
            </w:pPr>
          </w:p>
        </w:tc>
        <w:tc>
          <w:tcPr>
            <w:tcW w:w="1021" w:type="dxa"/>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trPr>
        <w:tc>
          <w:tcPr>
            <w:tcW w:w="743" w:type="dxa"/>
            <w:vAlign w:val="center"/>
          </w:tcPr>
          <w:p>
            <w:pPr>
              <w:widowControl/>
              <w:snapToGrid w:val="0"/>
              <w:spacing w:line="360" w:lineRule="auto"/>
              <w:jc w:val="center"/>
              <w:rPr>
                <w:rFonts w:ascii="宋体" w:hAnsi="宋体" w:cs="宋体"/>
                <w:kern w:val="0"/>
                <w:sz w:val="24"/>
              </w:rPr>
            </w:pPr>
            <w:r>
              <w:rPr>
                <w:rFonts w:ascii="宋体" w:hAnsi="宋体" w:cs="宋体"/>
                <w:kern w:val="0"/>
                <w:sz w:val="24"/>
              </w:rPr>
              <w:t>4</w:t>
            </w:r>
          </w:p>
        </w:tc>
        <w:tc>
          <w:tcPr>
            <w:tcW w:w="2229" w:type="dxa"/>
            <w:vAlign w:val="center"/>
          </w:tcPr>
          <w:p>
            <w:pPr>
              <w:spacing w:line="360" w:lineRule="auto"/>
              <w:jc w:val="left"/>
              <w:rPr>
                <w:rFonts w:ascii="宋体" w:hAnsi="宋体"/>
                <w:sz w:val="24"/>
              </w:rPr>
            </w:pPr>
            <w:r>
              <w:rPr>
                <w:rFonts w:hint="eastAsia" w:ascii="宋体" w:hAnsi="宋体"/>
                <w:sz w:val="24"/>
              </w:rPr>
              <w:t>本项目经理能力（提供相关证明文件复印件，提供加盖政府有关部门印章的打印日期在近六个月以内的《投保单》或《社会保险参保人员证明》）</w:t>
            </w:r>
          </w:p>
        </w:tc>
        <w:tc>
          <w:tcPr>
            <w:tcW w:w="4536" w:type="dxa"/>
            <w:vAlign w:val="center"/>
          </w:tcPr>
          <w:p>
            <w:pPr>
              <w:spacing w:line="360" w:lineRule="auto"/>
              <w:rPr>
                <w:rFonts w:ascii="宋体" w:hAnsi="宋体"/>
                <w:sz w:val="24"/>
              </w:rPr>
            </w:pPr>
            <w:r>
              <w:rPr>
                <w:rFonts w:hint="eastAsia" w:ascii="宋体" w:hAnsi="宋体"/>
                <w:sz w:val="24"/>
              </w:rPr>
              <w:t>项目经理在具备注册于投标单位的咨询工程师执业证书（专业为通信信息，登记单位为投标人单位）并具备以下证书得</w:t>
            </w:r>
            <w:r>
              <w:rPr>
                <w:rFonts w:ascii="宋体" w:hAnsi="宋体"/>
                <w:sz w:val="24"/>
              </w:rPr>
              <w:t>10</w:t>
            </w:r>
            <w:r>
              <w:rPr>
                <w:rFonts w:hint="eastAsia" w:ascii="宋体" w:hAnsi="宋体"/>
                <w:sz w:val="24"/>
                <w:lang w:val="en-US" w:eastAsia="zh-CN"/>
              </w:rPr>
              <w:t>分</w:t>
            </w:r>
            <w:r>
              <w:rPr>
                <w:rFonts w:hint="eastAsia" w:ascii="宋体" w:hAnsi="宋体"/>
                <w:sz w:val="24"/>
              </w:rPr>
              <w:t>，以下证书每缺</w:t>
            </w:r>
            <w:r>
              <w:rPr>
                <w:rFonts w:ascii="宋体" w:hAnsi="宋体"/>
                <w:sz w:val="24"/>
              </w:rPr>
              <w:t>1</w:t>
            </w:r>
            <w:r>
              <w:rPr>
                <w:rFonts w:hint="eastAsia" w:ascii="宋体" w:hAnsi="宋体"/>
                <w:sz w:val="24"/>
              </w:rPr>
              <w:t>项扣</w:t>
            </w:r>
            <w:r>
              <w:rPr>
                <w:rFonts w:ascii="宋体" w:hAnsi="宋体"/>
                <w:sz w:val="24"/>
              </w:rPr>
              <w:t>2</w:t>
            </w:r>
            <w:r>
              <w:rPr>
                <w:rFonts w:hint="eastAsia" w:ascii="宋体" w:hAnsi="宋体"/>
                <w:sz w:val="24"/>
              </w:rPr>
              <w:t>分。</w:t>
            </w:r>
          </w:p>
          <w:p>
            <w:pPr>
              <w:spacing w:line="360" w:lineRule="auto"/>
              <w:rPr>
                <w:rFonts w:hint="eastAsia" w:ascii="宋体" w:hAnsi="宋体"/>
                <w:sz w:val="24"/>
              </w:rPr>
            </w:pPr>
            <w:r>
              <w:rPr>
                <w:rFonts w:hint="eastAsia" w:ascii="宋体" w:hAnsi="宋体"/>
                <w:sz w:val="24"/>
              </w:rPr>
              <w:t>（1）具有计算机技术与软件专业技术资格（水平）“信息系统项目管理师(高级)”证书；</w:t>
            </w:r>
          </w:p>
          <w:p>
            <w:pPr>
              <w:spacing w:line="360" w:lineRule="auto"/>
              <w:rPr>
                <w:rFonts w:hint="eastAsia" w:ascii="宋体" w:hAnsi="宋体"/>
                <w:sz w:val="24"/>
              </w:rPr>
            </w:pPr>
            <w:r>
              <w:rPr>
                <w:rFonts w:hint="eastAsia" w:ascii="宋体" w:hAnsi="宋体"/>
                <w:sz w:val="24"/>
              </w:rPr>
              <w:t>（2）具有中国网络安全审查技术与认证中心颁发的信息安全保障人员认证注册证书（注册方向：风险管理专业级）；</w:t>
            </w:r>
          </w:p>
          <w:p>
            <w:pPr>
              <w:spacing w:line="360" w:lineRule="auto"/>
              <w:rPr>
                <w:rFonts w:hint="eastAsia" w:ascii="宋体" w:hAnsi="宋体"/>
                <w:sz w:val="24"/>
              </w:rPr>
            </w:pPr>
            <w:r>
              <w:rPr>
                <w:rFonts w:hint="eastAsia" w:ascii="宋体" w:hAnsi="宋体"/>
                <w:sz w:val="24"/>
              </w:rPr>
              <w:t>（3）具有全国计算机技术与软件专业技术资格“信息安全工程师”证书；</w:t>
            </w:r>
          </w:p>
          <w:p>
            <w:pPr>
              <w:spacing w:line="360" w:lineRule="auto"/>
              <w:rPr>
                <w:rFonts w:hint="eastAsia" w:ascii="宋体" w:hAnsi="宋体"/>
                <w:sz w:val="24"/>
              </w:rPr>
            </w:pPr>
            <w:r>
              <w:rPr>
                <w:rFonts w:hint="eastAsia" w:ascii="宋体" w:hAnsi="宋体"/>
                <w:sz w:val="24"/>
              </w:rPr>
              <w:t>（4）具有PRINCE2 Practitioner认证证书；</w:t>
            </w:r>
          </w:p>
          <w:p>
            <w:pPr>
              <w:spacing w:line="360" w:lineRule="auto"/>
              <w:rPr>
                <w:rFonts w:hint="eastAsia" w:ascii="宋体" w:hAnsi="宋体"/>
                <w:sz w:val="24"/>
              </w:rPr>
            </w:pPr>
            <w:r>
              <w:rPr>
                <w:rFonts w:hint="eastAsia" w:ascii="宋体" w:hAnsi="宋体"/>
                <w:sz w:val="24"/>
              </w:rPr>
              <w:t>（5）具有国家人力资源和社会保障部相关部门颁发的软件测试工程师证书；</w:t>
            </w:r>
          </w:p>
          <w:p>
            <w:pPr>
              <w:spacing w:line="360" w:lineRule="auto"/>
              <w:rPr>
                <w:rFonts w:ascii="宋体" w:hAnsi="宋体"/>
                <w:sz w:val="24"/>
              </w:rPr>
            </w:pPr>
            <w:r>
              <w:rPr>
                <w:rFonts w:hint="eastAsia" w:ascii="宋体" w:hAnsi="宋体"/>
                <w:b/>
                <w:bCs/>
                <w:sz w:val="24"/>
              </w:rPr>
              <w:t>注：如不具备注册于投标单位的咨询工程师资格证书，不计分。</w:t>
            </w:r>
          </w:p>
        </w:tc>
        <w:tc>
          <w:tcPr>
            <w:tcW w:w="1021" w:type="dxa"/>
            <w:vAlign w:val="center"/>
          </w:tcPr>
          <w:p>
            <w:pPr>
              <w:spacing w:line="360" w:lineRule="auto"/>
              <w:jc w:val="center"/>
              <w:rPr>
                <w:rFonts w:ascii="宋体" w:hAnsi="宋体"/>
                <w:sz w:val="24"/>
              </w:rPr>
            </w:pPr>
            <w:r>
              <w:rPr>
                <w:rFonts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trPr>
        <w:tc>
          <w:tcPr>
            <w:tcW w:w="743" w:type="dxa"/>
            <w:vAlign w:val="center"/>
          </w:tcPr>
          <w:p>
            <w:pPr>
              <w:widowControl/>
              <w:snapToGrid w:val="0"/>
              <w:spacing w:line="360" w:lineRule="auto"/>
              <w:jc w:val="center"/>
              <w:rPr>
                <w:rFonts w:ascii="宋体" w:hAnsi="宋体" w:cs="宋体"/>
                <w:kern w:val="0"/>
                <w:sz w:val="24"/>
              </w:rPr>
            </w:pPr>
            <w:r>
              <w:rPr>
                <w:rFonts w:ascii="宋体" w:hAnsi="宋体" w:cs="宋体"/>
                <w:kern w:val="0"/>
                <w:sz w:val="24"/>
              </w:rPr>
              <w:t>5</w:t>
            </w:r>
          </w:p>
        </w:tc>
        <w:tc>
          <w:tcPr>
            <w:tcW w:w="2229" w:type="dxa"/>
            <w:vAlign w:val="center"/>
          </w:tcPr>
          <w:p>
            <w:pPr>
              <w:spacing w:line="360" w:lineRule="auto"/>
              <w:jc w:val="left"/>
              <w:rPr>
                <w:rFonts w:ascii="宋体" w:hAnsi="宋体" w:cs="宋体"/>
                <w:sz w:val="24"/>
              </w:rPr>
            </w:pPr>
            <w:r>
              <w:rPr>
                <w:rFonts w:hint="eastAsia" w:ascii="宋体" w:hAnsi="宋体"/>
                <w:sz w:val="24"/>
              </w:rPr>
              <w:t>拟投入咨询的服务团队能力</w:t>
            </w:r>
          </w:p>
        </w:tc>
        <w:tc>
          <w:tcPr>
            <w:tcW w:w="4536" w:type="dxa"/>
            <w:vAlign w:val="center"/>
          </w:tcPr>
          <w:p>
            <w:pPr>
              <w:spacing w:line="360" w:lineRule="auto"/>
              <w:rPr>
                <w:rFonts w:ascii="宋体" w:hAnsi="宋体"/>
                <w:sz w:val="24"/>
              </w:rPr>
            </w:pPr>
            <w:r>
              <w:rPr>
                <w:rFonts w:hint="eastAsia" w:ascii="宋体" w:hAnsi="宋体"/>
                <w:sz w:val="24"/>
              </w:rPr>
              <w:t>拟投入咨询服务团队成员（不包含项目经理）情况：</w:t>
            </w:r>
          </w:p>
          <w:p>
            <w:pPr>
              <w:spacing w:line="360" w:lineRule="auto"/>
              <w:jc w:val="left"/>
              <w:rPr>
                <w:rFonts w:ascii="宋体" w:hAnsi="宋体"/>
                <w:sz w:val="24"/>
              </w:rPr>
            </w:pPr>
            <w:r>
              <w:rPr>
                <w:rFonts w:hint="eastAsia" w:ascii="宋体" w:hAnsi="宋体"/>
                <w:sz w:val="24"/>
              </w:rPr>
              <w:t>（1）具有中国工程咨询协会颁发注册咨询工程师登记证书（专业为通信信息，登记单位为投标人单位）和售后服务高级管理师证书，得2分；</w:t>
            </w:r>
          </w:p>
          <w:p>
            <w:pPr>
              <w:spacing w:line="360" w:lineRule="auto"/>
              <w:jc w:val="left"/>
              <w:rPr>
                <w:rFonts w:ascii="宋体" w:hAnsi="宋体"/>
                <w:sz w:val="24"/>
              </w:rPr>
            </w:pPr>
            <w:r>
              <w:rPr>
                <w:rFonts w:hint="eastAsia" w:ascii="宋体" w:hAnsi="宋体"/>
                <w:sz w:val="24"/>
              </w:rPr>
              <w:t>（2）具有计算机技术与软件专业技术资格（水平）“信息系统项目管理师(高级)”证书和具有全国信息化专业技能信息系统审计师，得</w:t>
            </w:r>
            <w:r>
              <w:rPr>
                <w:rFonts w:ascii="宋体" w:hAnsi="宋体"/>
                <w:sz w:val="24"/>
              </w:rPr>
              <w:t>2</w:t>
            </w:r>
            <w:r>
              <w:rPr>
                <w:rFonts w:hint="eastAsia" w:ascii="宋体" w:hAnsi="宋体"/>
                <w:sz w:val="24"/>
              </w:rPr>
              <w:t>分；</w:t>
            </w:r>
          </w:p>
          <w:p>
            <w:pPr>
              <w:spacing w:line="360" w:lineRule="auto"/>
              <w:jc w:val="left"/>
              <w:rPr>
                <w:rFonts w:ascii="宋体" w:hAnsi="宋体"/>
                <w:sz w:val="24"/>
              </w:rPr>
            </w:pPr>
            <w:r>
              <w:rPr>
                <w:rFonts w:hint="eastAsia" w:ascii="宋体" w:hAnsi="宋体"/>
                <w:sz w:val="24"/>
              </w:rPr>
              <w:t>（3）具有国家人力资源和社会保障部相关部门颁发的软件测试工程师证书和全国计算机云计算架构专业人才证书，得2分；</w:t>
            </w:r>
          </w:p>
          <w:p>
            <w:pPr>
              <w:spacing w:line="360" w:lineRule="auto"/>
              <w:jc w:val="left"/>
              <w:rPr>
                <w:rFonts w:ascii="宋体" w:hAnsi="宋体"/>
                <w:sz w:val="24"/>
              </w:rPr>
            </w:pPr>
            <w:r>
              <w:rPr>
                <w:rFonts w:hint="eastAsia" w:ascii="宋体" w:hAnsi="宋体"/>
                <w:sz w:val="24"/>
              </w:rPr>
              <w:t>（4）工业和信息化部相关部门颁发的大数据分析师(高级)证书和全国计算机软件架构专业人才证书，得2分；</w:t>
            </w:r>
          </w:p>
          <w:p>
            <w:pPr>
              <w:spacing w:line="360" w:lineRule="auto"/>
              <w:jc w:val="left"/>
              <w:rPr>
                <w:rFonts w:ascii="宋体" w:hAnsi="宋体"/>
                <w:sz w:val="24"/>
              </w:rPr>
            </w:pPr>
            <w:r>
              <w:rPr>
                <w:rFonts w:hint="eastAsia" w:ascii="宋体" w:hAnsi="宋体"/>
                <w:sz w:val="24"/>
              </w:rPr>
              <w:t>（5）具有PRINCE2 Practitioner认证证书和</w:t>
            </w:r>
            <w:r>
              <w:rPr>
                <w:rFonts w:ascii="宋体" w:hAnsi="宋体"/>
                <w:sz w:val="24"/>
              </w:rPr>
              <w:t>PMP</w:t>
            </w:r>
            <w:r>
              <w:rPr>
                <w:rFonts w:hint="eastAsia" w:ascii="宋体" w:hAnsi="宋体"/>
                <w:sz w:val="24"/>
              </w:rPr>
              <w:t>证书，得2分</w:t>
            </w:r>
          </w:p>
          <w:p>
            <w:pPr>
              <w:spacing w:line="360" w:lineRule="auto"/>
              <w:jc w:val="left"/>
              <w:rPr>
                <w:rFonts w:ascii="宋体" w:hAnsi="宋体"/>
                <w:sz w:val="24"/>
              </w:rPr>
            </w:pPr>
            <w:r>
              <w:rPr>
                <w:rFonts w:hint="eastAsia" w:ascii="宋体" w:hAnsi="宋体" w:cs="宋体"/>
                <w:sz w:val="24"/>
              </w:rPr>
              <w:t>注：</w:t>
            </w:r>
            <w:r>
              <w:rPr>
                <w:rFonts w:ascii="宋体" w:hAnsi="宋体" w:cs="宋体"/>
                <w:sz w:val="24"/>
              </w:rPr>
              <w:t>以上人员不得重复计分</w:t>
            </w:r>
            <w:r>
              <w:rPr>
                <w:rFonts w:hint="eastAsia" w:ascii="宋体" w:hAnsi="宋体"/>
                <w:sz w:val="24"/>
              </w:rPr>
              <w:t>。须提供以上证书的复印件以及人员在本公司任职的外部证明材料（如加盖公司所在地政府有关部门印章的打印日期在本项目近六个月以内的《投保单》或《社会保险参保人员证明》，或单位代缴个人所得税税单等。</w:t>
            </w:r>
          </w:p>
        </w:tc>
        <w:tc>
          <w:tcPr>
            <w:tcW w:w="1021" w:type="dxa"/>
            <w:vAlign w:val="center"/>
          </w:tcPr>
          <w:p>
            <w:pPr>
              <w:spacing w:line="360" w:lineRule="auto"/>
              <w:jc w:val="center"/>
              <w:rPr>
                <w:rFonts w:ascii="宋体" w:hAnsi="宋体" w:cs="宋体"/>
                <w:sz w:val="24"/>
              </w:rPr>
            </w:pPr>
            <w:r>
              <w:rPr>
                <w:rFonts w:ascii="宋体" w:hAnsi="宋体" w:cs="宋体"/>
                <w:sz w:val="24"/>
              </w:rPr>
              <w:t>10</w:t>
            </w:r>
          </w:p>
        </w:tc>
      </w:tr>
      <w:bookmarkEnd w:id="123"/>
    </w:tbl>
    <w:p>
      <w:pPr>
        <w:pStyle w:val="3"/>
        <w:numPr>
          <w:ilvl w:val="0"/>
          <w:numId w:val="10"/>
        </w:numPr>
        <w:autoSpaceDE w:val="0"/>
        <w:autoSpaceDN w:val="0"/>
        <w:adjustRightInd w:val="0"/>
        <w:spacing w:before="156" w:beforeLines="0" w:after="156" w:afterLines="0"/>
        <w:jc w:val="center"/>
        <w:textAlignment w:val="baseline"/>
        <w:rPr>
          <w:rFonts w:ascii="宋体" w:hAnsi="宋体" w:eastAsia="宋体" w:cs="Arial"/>
          <w:sz w:val="30"/>
          <w:szCs w:val="30"/>
        </w:rPr>
      </w:pPr>
      <w:r>
        <w:rPr>
          <w:rFonts w:ascii="宋体" w:hAnsi="宋体" w:eastAsia="宋体" w:cs="Arial"/>
          <w:szCs w:val="28"/>
        </w:rPr>
        <w:br w:type="page"/>
      </w:r>
      <w:bookmarkStart w:id="124" w:name="_Toc7016561"/>
      <w:bookmarkStart w:id="125" w:name="_Toc3627193"/>
      <w:bookmarkStart w:id="126" w:name="_Toc21256"/>
      <w:bookmarkStart w:id="127" w:name="_Toc8798"/>
      <w:r>
        <w:rPr>
          <w:rFonts w:hint="eastAsia" w:ascii="宋体" w:hAnsi="宋体" w:eastAsia="宋体" w:cs="Arial"/>
          <w:sz w:val="30"/>
          <w:szCs w:val="30"/>
        </w:rPr>
        <w:t>样表格式</w:t>
      </w:r>
      <w:bookmarkEnd w:id="100"/>
      <w:bookmarkEnd w:id="124"/>
      <w:bookmarkEnd w:id="125"/>
      <w:bookmarkEnd w:id="126"/>
      <w:bookmarkEnd w:id="127"/>
    </w:p>
    <w:p>
      <w:pPr>
        <w:pStyle w:val="4"/>
        <w:numPr>
          <w:ilvl w:val="0"/>
          <w:numId w:val="0"/>
        </w:numPr>
        <w:spacing w:before="156" w:after="156"/>
        <w:jc w:val="center"/>
        <w:rPr>
          <w:rFonts w:hAnsi="宋体" w:cs="Arial"/>
          <w:bCs w:val="0"/>
          <w:sz w:val="24"/>
          <w:szCs w:val="28"/>
        </w:rPr>
      </w:pPr>
      <w:bookmarkStart w:id="128" w:name="_Toc490832205"/>
      <w:bookmarkStart w:id="129" w:name="_Toc484827212"/>
      <w:bookmarkStart w:id="130" w:name="_Toc484848557"/>
      <w:bookmarkStart w:id="131" w:name="_Toc506611606"/>
      <w:bookmarkStart w:id="132" w:name="_Toc494875415"/>
      <w:bookmarkStart w:id="133" w:name="_Toc506611814"/>
      <w:bookmarkStart w:id="134" w:name="_Toc506628557"/>
      <w:bookmarkStart w:id="135" w:name="_Toc517502637"/>
      <w:bookmarkStart w:id="136" w:name="_Toc12118375"/>
      <w:bookmarkStart w:id="137" w:name="_Toc46738158"/>
      <w:bookmarkStart w:id="138" w:name="_Toc46738292"/>
      <w:bookmarkStart w:id="139" w:name="_Toc46738419"/>
      <w:bookmarkStart w:id="140" w:name="_Toc75917309"/>
      <w:bookmarkStart w:id="141" w:name="_Toc347481633"/>
      <w:bookmarkStart w:id="142" w:name="_Toc372145632"/>
      <w:bookmarkStart w:id="143" w:name="_Toc513448415"/>
      <w:bookmarkStart w:id="144" w:name="_Toc3627194"/>
      <w:bookmarkStart w:id="145" w:name="_Toc7016562"/>
      <w:bookmarkStart w:id="146" w:name="_Toc26936"/>
      <w:bookmarkStart w:id="147" w:name="_Toc12289"/>
      <w:r>
        <w:rPr>
          <w:rFonts w:hint="eastAsia" w:hAnsi="宋体" w:cs="Arial"/>
          <w:bCs w:val="0"/>
          <w:sz w:val="24"/>
          <w:szCs w:val="28"/>
        </w:rPr>
        <w:t>附件1-1</w:t>
      </w:r>
      <w:bookmarkEnd w:id="128"/>
      <w:bookmarkEnd w:id="129"/>
      <w:bookmarkEnd w:id="130"/>
      <w:bookmarkEnd w:id="131"/>
      <w:bookmarkEnd w:id="132"/>
      <w:bookmarkEnd w:id="133"/>
      <w:bookmarkEnd w:id="134"/>
      <w:r>
        <w:rPr>
          <w:rFonts w:hint="eastAsia" w:hAnsi="宋体" w:cs="Arial"/>
          <w:bCs w:val="0"/>
          <w:sz w:val="24"/>
          <w:szCs w:val="28"/>
        </w:rPr>
        <w:t xml:space="preserve">  投标函</w:t>
      </w:r>
      <w:bookmarkEnd w:id="135"/>
      <w:bookmarkEnd w:id="136"/>
      <w:bookmarkEnd w:id="137"/>
      <w:bookmarkEnd w:id="138"/>
      <w:bookmarkEnd w:id="139"/>
      <w:bookmarkEnd w:id="140"/>
      <w:bookmarkEnd w:id="141"/>
      <w:bookmarkEnd w:id="142"/>
      <w:bookmarkEnd w:id="143"/>
      <w:bookmarkEnd w:id="144"/>
      <w:bookmarkEnd w:id="145"/>
      <w:bookmarkEnd w:id="146"/>
      <w:bookmarkEnd w:id="147"/>
    </w:p>
    <w:p>
      <w:pPr>
        <w:spacing w:line="360" w:lineRule="auto"/>
        <w:rPr>
          <w:rFonts w:ascii="宋体" w:hAnsi="宋体" w:cs="Arial"/>
          <w:sz w:val="24"/>
          <w:szCs w:val="28"/>
        </w:rPr>
      </w:pPr>
      <w:r>
        <w:rPr>
          <w:rFonts w:hint="eastAsia" w:ascii="宋体" w:hAnsi="宋体" w:cs="Arial"/>
          <w:sz w:val="24"/>
          <w:szCs w:val="28"/>
        </w:rPr>
        <w:t>致：    （采购人）</w:t>
      </w:r>
    </w:p>
    <w:p>
      <w:pPr>
        <w:spacing w:line="360" w:lineRule="auto"/>
        <w:ind w:firstLine="420"/>
        <w:jc w:val="left"/>
        <w:rPr>
          <w:rFonts w:ascii="宋体" w:hAnsi="宋体" w:cs="Arial"/>
          <w:sz w:val="24"/>
          <w:szCs w:val="28"/>
        </w:rPr>
      </w:pPr>
      <w:r>
        <w:rPr>
          <w:rFonts w:hint="eastAsia" w:ascii="宋体" w:hAnsi="宋体" w:cs="Arial"/>
          <w:sz w:val="24"/>
          <w:szCs w:val="28"/>
        </w:rPr>
        <w:t>根据贵方发布的广州市政务服务数据管理局</w:t>
      </w:r>
      <w:r>
        <w:rPr>
          <w:rFonts w:hint="eastAsia" w:ascii="宋体" w:hAnsi="宋体" w:cs="Arial"/>
          <w:sz w:val="24"/>
          <w:szCs w:val="28"/>
          <w:lang w:eastAsia="zh-CN"/>
        </w:rPr>
        <w:t>广州移动政务服务平台设计咨询服务项目</w:t>
      </w:r>
      <w:r>
        <w:rPr>
          <w:rFonts w:hint="eastAsia" w:ascii="宋体" w:hAnsi="宋体" w:cs="Arial"/>
          <w:sz w:val="24"/>
          <w:szCs w:val="28"/>
        </w:rPr>
        <w:t>招标文件，本人代表投标人（投标人名称）     参加投标，并提交投标文件。</w:t>
      </w:r>
    </w:p>
    <w:p>
      <w:pPr>
        <w:spacing w:line="360" w:lineRule="auto"/>
        <w:ind w:firstLine="420"/>
        <w:rPr>
          <w:rFonts w:ascii="宋体" w:hAnsi="宋体" w:cs="Arial"/>
          <w:sz w:val="24"/>
          <w:szCs w:val="28"/>
        </w:rPr>
      </w:pPr>
      <w:r>
        <w:rPr>
          <w:rFonts w:hint="eastAsia" w:ascii="宋体" w:hAnsi="宋体" w:cs="Arial"/>
          <w:sz w:val="24"/>
          <w:szCs w:val="28"/>
        </w:rPr>
        <w:t>据此函，我方承诺如下：</w:t>
      </w:r>
    </w:p>
    <w:p>
      <w:pPr>
        <w:spacing w:line="360" w:lineRule="auto"/>
        <w:ind w:firstLine="420"/>
        <w:rPr>
          <w:rFonts w:ascii="宋体" w:hAnsi="宋体" w:cs="Arial"/>
          <w:sz w:val="24"/>
          <w:szCs w:val="28"/>
        </w:rPr>
      </w:pPr>
      <w:r>
        <w:rPr>
          <w:rFonts w:hint="eastAsia" w:ascii="宋体" w:hAnsi="宋体" w:cs="Arial"/>
          <w:sz w:val="24"/>
          <w:szCs w:val="28"/>
        </w:rPr>
        <w:t>1．项目投标总价见所附《开标一览表》的“总价格”。</w:t>
      </w:r>
    </w:p>
    <w:p>
      <w:pPr>
        <w:spacing w:line="360" w:lineRule="auto"/>
        <w:ind w:firstLine="420"/>
        <w:rPr>
          <w:rFonts w:ascii="宋体" w:hAnsi="宋体" w:cs="Arial"/>
          <w:sz w:val="24"/>
          <w:szCs w:val="28"/>
        </w:rPr>
      </w:pPr>
      <w:r>
        <w:rPr>
          <w:rFonts w:hint="eastAsia" w:ascii="宋体" w:hAnsi="宋体" w:cs="Arial"/>
          <w:sz w:val="24"/>
          <w:szCs w:val="28"/>
        </w:rPr>
        <w:t>2．我方郑重承诺：除《投标响应与招标文件差异一览表》中的差异外，我方将全部满足采购文件中的各项实质性要求，如果发现投标文件中另有与采购文件中不一致的响应或没有响应，我方同意采购人有权要求按照采购文件的要求提供设备或服务。我方并同意按照采购文件的规定履行合同责任和义务。</w:t>
      </w:r>
    </w:p>
    <w:p>
      <w:pPr>
        <w:spacing w:line="360" w:lineRule="auto"/>
        <w:ind w:firstLine="420"/>
        <w:rPr>
          <w:rFonts w:ascii="宋体" w:hAnsi="宋体" w:cs="Arial"/>
          <w:sz w:val="24"/>
          <w:szCs w:val="28"/>
        </w:rPr>
      </w:pPr>
      <w:r>
        <w:rPr>
          <w:rFonts w:hint="eastAsia" w:ascii="宋体" w:hAnsi="宋体" w:cs="Arial"/>
          <w:sz w:val="24"/>
          <w:szCs w:val="28"/>
        </w:rPr>
        <w:t>3．我方已详细审查全部采购文件，包括采购文件更正通知（如有的话）以及全部参考资料和有关附件。我们完全理解并同意放弃对这方面有不明及误解的权利。</w:t>
      </w:r>
    </w:p>
    <w:p>
      <w:pPr>
        <w:spacing w:line="360" w:lineRule="auto"/>
        <w:ind w:firstLine="420"/>
        <w:rPr>
          <w:rFonts w:ascii="宋体" w:hAnsi="宋体" w:cs="Arial"/>
          <w:sz w:val="24"/>
          <w:szCs w:val="28"/>
        </w:rPr>
      </w:pPr>
      <w:r>
        <w:rPr>
          <w:rFonts w:hint="eastAsia" w:ascii="宋体" w:hAnsi="宋体" w:cs="Arial"/>
          <w:sz w:val="24"/>
          <w:szCs w:val="28"/>
        </w:rPr>
        <w:t>4．我方的投标文件在投标截止日后90天（日历天）内保持有效，如中标，有效期将延至本项目合同执行期满日为止。</w:t>
      </w:r>
    </w:p>
    <w:p>
      <w:pPr>
        <w:spacing w:line="360" w:lineRule="auto"/>
        <w:ind w:firstLine="420"/>
        <w:rPr>
          <w:rFonts w:ascii="宋体" w:hAnsi="宋体" w:cs="Arial"/>
          <w:sz w:val="24"/>
          <w:szCs w:val="28"/>
        </w:rPr>
      </w:pPr>
      <w:r>
        <w:rPr>
          <w:rFonts w:hint="eastAsia" w:ascii="宋体" w:hAnsi="宋体" w:cs="Arial"/>
          <w:sz w:val="24"/>
          <w:szCs w:val="28"/>
        </w:rPr>
        <w:t>5．如果在规定的开标时间后，我方在投标有效期内撤回投标，其投标保证金将被贵方没收。</w:t>
      </w:r>
    </w:p>
    <w:p>
      <w:pPr>
        <w:spacing w:line="360" w:lineRule="auto"/>
        <w:ind w:firstLine="420"/>
        <w:rPr>
          <w:rFonts w:ascii="宋体" w:hAnsi="宋体" w:cs="Arial"/>
          <w:sz w:val="24"/>
          <w:szCs w:val="28"/>
        </w:rPr>
      </w:pPr>
      <w:r>
        <w:rPr>
          <w:rFonts w:hint="eastAsia" w:ascii="宋体" w:hAnsi="宋体" w:cs="Arial"/>
          <w:sz w:val="24"/>
          <w:szCs w:val="28"/>
        </w:rPr>
        <w:t>6．我方同意提供按照贵方可能要求的与我方投标有关的一切数据或资料，理解贵方不一定要接受最低价的投标或收到的任何投标。</w:t>
      </w:r>
    </w:p>
    <w:p>
      <w:pPr>
        <w:spacing w:line="360" w:lineRule="auto"/>
        <w:ind w:firstLine="420"/>
        <w:rPr>
          <w:rFonts w:ascii="宋体" w:hAnsi="宋体" w:cs="Arial"/>
          <w:sz w:val="24"/>
          <w:szCs w:val="28"/>
        </w:rPr>
      </w:pPr>
      <w:r>
        <w:rPr>
          <w:rFonts w:hint="eastAsia" w:ascii="宋体" w:hAnsi="宋体" w:cs="Arial"/>
          <w:sz w:val="24"/>
          <w:szCs w:val="28"/>
        </w:rPr>
        <w:t>7．与本投标有关的一切正式往来通讯请寄：</w:t>
      </w:r>
    </w:p>
    <w:p>
      <w:pPr>
        <w:spacing w:line="360" w:lineRule="auto"/>
        <w:ind w:firstLine="420"/>
        <w:rPr>
          <w:rFonts w:ascii="宋体" w:hAnsi="宋体" w:cs="Arial"/>
          <w:sz w:val="24"/>
          <w:szCs w:val="28"/>
        </w:rPr>
      </w:pPr>
      <w:r>
        <w:rPr>
          <w:rFonts w:hint="eastAsia" w:ascii="宋体" w:hAnsi="宋体" w:cs="Arial"/>
          <w:sz w:val="24"/>
          <w:szCs w:val="28"/>
        </w:rPr>
        <w:t>地址：</w:t>
      </w:r>
      <w:r>
        <w:rPr>
          <w:rFonts w:hint="eastAsia" w:ascii="宋体" w:hAnsi="宋体" w:cs="Arial"/>
          <w:sz w:val="24"/>
          <w:szCs w:val="28"/>
        </w:rPr>
        <w:tab/>
      </w:r>
      <w:r>
        <w:rPr>
          <w:rFonts w:hint="eastAsia" w:ascii="宋体" w:hAnsi="宋体" w:cs="Arial"/>
          <w:sz w:val="24"/>
          <w:szCs w:val="28"/>
        </w:rPr>
        <w:t xml:space="preserve">           </w:t>
      </w:r>
      <w:r>
        <w:rPr>
          <w:rFonts w:hint="eastAsia" w:ascii="宋体" w:hAnsi="宋体" w:cs="Arial"/>
          <w:sz w:val="24"/>
          <w:szCs w:val="28"/>
        </w:rPr>
        <w:tab/>
      </w:r>
      <w:r>
        <w:rPr>
          <w:rFonts w:hint="eastAsia" w:ascii="宋体" w:hAnsi="宋体" w:cs="Arial"/>
          <w:sz w:val="24"/>
          <w:szCs w:val="28"/>
        </w:rPr>
        <w:tab/>
      </w:r>
      <w:r>
        <w:rPr>
          <w:rFonts w:hint="eastAsia" w:ascii="宋体" w:hAnsi="宋体" w:cs="Arial"/>
          <w:sz w:val="24"/>
          <w:szCs w:val="28"/>
        </w:rPr>
        <w:t xml:space="preserve">             邮编：</w:t>
      </w:r>
    </w:p>
    <w:p>
      <w:pPr>
        <w:spacing w:line="360" w:lineRule="auto"/>
        <w:ind w:firstLine="420"/>
        <w:rPr>
          <w:rFonts w:ascii="宋体" w:hAnsi="宋体" w:cs="Arial"/>
          <w:sz w:val="24"/>
          <w:szCs w:val="28"/>
        </w:rPr>
      </w:pPr>
      <w:r>
        <w:rPr>
          <w:rFonts w:hint="eastAsia" w:ascii="宋体" w:hAnsi="宋体" w:cs="Arial"/>
          <w:sz w:val="24"/>
          <w:szCs w:val="28"/>
        </w:rPr>
        <w:t>电话：</w:t>
      </w:r>
      <w:r>
        <w:rPr>
          <w:rFonts w:hint="eastAsia" w:ascii="宋体" w:hAnsi="宋体" w:cs="Arial"/>
          <w:sz w:val="24"/>
          <w:szCs w:val="28"/>
        </w:rPr>
        <w:tab/>
      </w:r>
      <w:r>
        <w:rPr>
          <w:rFonts w:hint="eastAsia" w:ascii="宋体" w:hAnsi="宋体" w:cs="Arial"/>
          <w:sz w:val="24"/>
          <w:szCs w:val="28"/>
        </w:rPr>
        <w:tab/>
      </w:r>
      <w:r>
        <w:rPr>
          <w:rFonts w:hint="eastAsia" w:ascii="宋体" w:hAnsi="宋体" w:cs="Arial"/>
          <w:sz w:val="24"/>
          <w:szCs w:val="28"/>
        </w:rPr>
        <w:tab/>
      </w:r>
      <w:r>
        <w:rPr>
          <w:rFonts w:hint="eastAsia" w:ascii="宋体" w:hAnsi="宋体" w:cs="Arial"/>
          <w:sz w:val="24"/>
          <w:szCs w:val="28"/>
        </w:rPr>
        <w:tab/>
      </w:r>
      <w:r>
        <w:rPr>
          <w:rFonts w:hint="eastAsia" w:ascii="宋体" w:hAnsi="宋体" w:cs="Arial"/>
          <w:sz w:val="24"/>
          <w:szCs w:val="28"/>
        </w:rPr>
        <w:tab/>
      </w:r>
      <w:r>
        <w:rPr>
          <w:rFonts w:hint="eastAsia" w:ascii="宋体" w:hAnsi="宋体" w:cs="Arial"/>
          <w:sz w:val="24"/>
          <w:szCs w:val="28"/>
        </w:rPr>
        <w:tab/>
      </w:r>
      <w:r>
        <w:rPr>
          <w:rFonts w:hint="eastAsia" w:ascii="宋体" w:hAnsi="宋体" w:cs="Arial"/>
          <w:sz w:val="24"/>
          <w:szCs w:val="28"/>
        </w:rPr>
        <w:tab/>
      </w:r>
      <w:r>
        <w:rPr>
          <w:rFonts w:hint="eastAsia" w:ascii="宋体" w:hAnsi="宋体" w:cs="Arial"/>
          <w:sz w:val="24"/>
          <w:szCs w:val="28"/>
        </w:rPr>
        <w:tab/>
      </w:r>
      <w:r>
        <w:rPr>
          <w:rFonts w:hint="eastAsia" w:ascii="宋体" w:hAnsi="宋体" w:cs="Arial"/>
          <w:sz w:val="24"/>
          <w:szCs w:val="28"/>
        </w:rPr>
        <w:t xml:space="preserve">      传真：</w:t>
      </w:r>
    </w:p>
    <w:p>
      <w:pPr>
        <w:spacing w:line="360" w:lineRule="auto"/>
        <w:ind w:firstLine="420"/>
        <w:rPr>
          <w:rFonts w:ascii="宋体" w:hAnsi="宋体" w:cs="Arial"/>
          <w:sz w:val="24"/>
          <w:szCs w:val="28"/>
        </w:rPr>
      </w:pPr>
      <w:r>
        <w:rPr>
          <w:rFonts w:hint="eastAsia" w:ascii="宋体" w:hAnsi="宋体" w:cs="Arial"/>
          <w:sz w:val="24"/>
          <w:szCs w:val="28"/>
        </w:rPr>
        <w:t>投标人代表姓名、职务（印刷体）：</w:t>
      </w:r>
    </w:p>
    <w:p>
      <w:pPr>
        <w:spacing w:line="360" w:lineRule="auto"/>
        <w:ind w:firstLine="420"/>
        <w:rPr>
          <w:rFonts w:ascii="宋体" w:hAnsi="宋体" w:cs="Arial"/>
          <w:sz w:val="24"/>
          <w:szCs w:val="28"/>
        </w:rPr>
      </w:pPr>
      <w:r>
        <w:rPr>
          <w:rFonts w:hint="eastAsia" w:ascii="宋体" w:hAnsi="宋体" w:cs="Arial"/>
          <w:sz w:val="24"/>
          <w:szCs w:val="28"/>
        </w:rPr>
        <w:t>移动电话：</w:t>
      </w:r>
    </w:p>
    <w:p>
      <w:pPr>
        <w:spacing w:line="360" w:lineRule="auto"/>
        <w:ind w:firstLine="420"/>
        <w:rPr>
          <w:rFonts w:ascii="宋体" w:hAnsi="宋体" w:cs="Arial"/>
          <w:sz w:val="24"/>
          <w:szCs w:val="28"/>
        </w:rPr>
      </w:pPr>
      <w:r>
        <w:rPr>
          <w:rFonts w:hint="eastAsia" w:ascii="宋体" w:hAnsi="宋体" w:cs="Arial"/>
          <w:sz w:val="24"/>
          <w:szCs w:val="28"/>
        </w:rPr>
        <w:t>投标人名称：（公章）</w:t>
      </w:r>
      <w:r>
        <w:rPr>
          <w:rFonts w:hint="eastAsia" w:ascii="宋体" w:hAnsi="宋体" w:cs="Arial"/>
          <w:sz w:val="24"/>
          <w:szCs w:val="28"/>
        </w:rPr>
        <w:tab/>
      </w:r>
      <w:r>
        <w:rPr>
          <w:rFonts w:hint="eastAsia" w:ascii="宋体" w:hAnsi="宋体" w:cs="Arial"/>
          <w:sz w:val="24"/>
          <w:szCs w:val="28"/>
        </w:rPr>
        <w:tab/>
      </w:r>
      <w:r>
        <w:rPr>
          <w:rFonts w:hint="eastAsia" w:ascii="宋体" w:hAnsi="宋体" w:cs="Arial"/>
          <w:sz w:val="24"/>
          <w:szCs w:val="28"/>
        </w:rPr>
        <w:tab/>
      </w:r>
      <w:r>
        <w:rPr>
          <w:rFonts w:hint="eastAsia" w:ascii="宋体" w:hAnsi="宋体" w:cs="Arial"/>
          <w:sz w:val="24"/>
          <w:szCs w:val="28"/>
        </w:rPr>
        <w:tab/>
      </w:r>
      <w:r>
        <w:rPr>
          <w:rFonts w:hint="eastAsia" w:ascii="宋体" w:hAnsi="宋体" w:cs="Arial"/>
          <w:sz w:val="24"/>
          <w:szCs w:val="28"/>
        </w:rPr>
        <w:tab/>
      </w:r>
      <w:r>
        <w:rPr>
          <w:rFonts w:hint="eastAsia" w:ascii="宋体" w:hAnsi="宋体" w:cs="Arial"/>
          <w:sz w:val="24"/>
          <w:szCs w:val="28"/>
        </w:rPr>
        <w:tab/>
      </w:r>
      <w:r>
        <w:rPr>
          <w:rFonts w:hint="eastAsia" w:ascii="宋体" w:hAnsi="宋体" w:cs="Arial"/>
          <w:sz w:val="24"/>
          <w:szCs w:val="28"/>
        </w:rPr>
        <w:t xml:space="preserve">         年   </w:t>
      </w:r>
      <w:r>
        <w:rPr>
          <w:rFonts w:ascii="宋体" w:hAnsi="宋体" w:cs="Arial"/>
          <w:sz w:val="24"/>
          <w:szCs w:val="28"/>
        </w:rPr>
        <w:t xml:space="preserve"> </w:t>
      </w:r>
      <w:r>
        <w:rPr>
          <w:rFonts w:hint="eastAsia" w:ascii="宋体" w:hAnsi="宋体" w:cs="Arial"/>
          <w:sz w:val="24"/>
          <w:szCs w:val="28"/>
        </w:rPr>
        <w:t>月    日</w:t>
      </w:r>
    </w:p>
    <w:p>
      <w:pPr>
        <w:spacing w:line="360" w:lineRule="auto"/>
        <w:ind w:firstLine="482" w:firstLineChars="200"/>
        <w:rPr>
          <w:rFonts w:ascii="宋体" w:hAnsi="宋体" w:cs="Arial"/>
          <w:b/>
          <w:bCs/>
          <w:sz w:val="24"/>
          <w:szCs w:val="28"/>
        </w:rPr>
      </w:pPr>
    </w:p>
    <w:p>
      <w:pPr>
        <w:pStyle w:val="4"/>
        <w:numPr>
          <w:ilvl w:val="0"/>
          <w:numId w:val="0"/>
        </w:numPr>
        <w:spacing w:before="156" w:after="156"/>
        <w:jc w:val="center"/>
        <w:rPr>
          <w:rFonts w:hAnsi="宋体" w:cs="Arial"/>
          <w:bCs w:val="0"/>
          <w:sz w:val="24"/>
          <w:szCs w:val="28"/>
        </w:rPr>
      </w:pPr>
      <w:bookmarkStart w:id="148" w:name="_Toc12118376"/>
      <w:bookmarkStart w:id="149" w:name="_Toc46738159"/>
      <w:bookmarkStart w:id="150" w:name="_Toc46738293"/>
      <w:bookmarkStart w:id="151" w:name="_Toc46738420"/>
      <w:bookmarkStart w:id="152" w:name="_Toc75917310"/>
      <w:bookmarkStart w:id="153" w:name="_Toc347481634"/>
      <w:bookmarkStart w:id="154" w:name="_Toc372145633"/>
      <w:bookmarkStart w:id="155" w:name="_Toc513448416"/>
      <w:r>
        <w:rPr>
          <w:rFonts w:hAnsi="宋体" w:cs="Arial"/>
          <w:bCs w:val="0"/>
          <w:sz w:val="24"/>
          <w:szCs w:val="28"/>
        </w:rPr>
        <w:br w:type="page"/>
      </w:r>
      <w:bookmarkStart w:id="156" w:name="_Toc3627195"/>
      <w:bookmarkStart w:id="157" w:name="_Toc7016563"/>
      <w:bookmarkStart w:id="158" w:name="_Toc7692"/>
      <w:bookmarkStart w:id="159" w:name="_Toc11985"/>
      <w:r>
        <w:rPr>
          <w:rFonts w:hint="eastAsia" w:hAnsi="宋体" w:cs="Arial"/>
          <w:bCs w:val="0"/>
          <w:sz w:val="24"/>
          <w:szCs w:val="28"/>
        </w:rPr>
        <w:t>附件1-2  开标一览表</w:t>
      </w:r>
      <w:bookmarkEnd w:id="148"/>
      <w:bookmarkEnd w:id="149"/>
      <w:bookmarkEnd w:id="150"/>
      <w:bookmarkEnd w:id="151"/>
      <w:bookmarkEnd w:id="152"/>
      <w:bookmarkEnd w:id="153"/>
      <w:bookmarkEnd w:id="154"/>
      <w:bookmarkEnd w:id="155"/>
      <w:bookmarkEnd w:id="156"/>
      <w:bookmarkEnd w:id="157"/>
      <w:bookmarkEnd w:id="158"/>
      <w:bookmarkEnd w:id="159"/>
    </w:p>
    <w:p>
      <w:pPr>
        <w:pStyle w:val="69"/>
        <w:spacing w:line="360" w:lineRule="auto"/>
        <w:jc w:val="right"/>
        <w:rPr>
          <w:rFonts w:hAnsi="宋体"/>
          <w:sz w:val="24"/>
          <w:szCs w:val="24"/>
        </w:rPr>
      </w:pPr>
      <w:r>
        <w:rPr>
          <w:rFonts w:hint="eastAsia" w:hAnsi="宋体"/>
          <w:sz w:val="24"/>
          <w:szCs w:val="24"/>
        </w:rPr>
        <w:t xml:space="preserve">       [货币单位：人民币元]</w:t>
      </w:r>
    </w:p>
    <w:tbl>
      <w:tblPr>
        <w:tblStyle w:val="27"/>
        <w:tblW w:w="8647" w:type="dxa"/>
        <w:tblInd w:w="30" w:type="dxa"/>
        <w:tblLayout w:type="fixed"/>
        <w:tblCellMar>
          <w:top w:w="0" w:type="dxa"/>
          <w:left w:w="30" w:type="dxa"/>
          <w:bottom w:w="0" w:type="dxa"/>
          <w:right w:w="30" w:type="dxa"/>
        </w:tblCellMar>
      </w:tblPr>
      <w:tblGrid>
        <w:gridCol w:w="2652"/>
        <w:gridCol w:w="5995"/>
      </w:tblGrid>
      <w:tr>
        <w:tblPrEx>
          <w:tblCellMar>
            <w:top w:w="0" w:type="dxa"/>
            <w:left w:w="30" w:type="dxa"/>
            <w:bottom w:w="0" w:type="dxa"/>
            <w:right w:w="30" w:type="dxa"/>
          </w:tblCellMar>
        </w:tblPrEx>
        <w:trPr>
          <w:cantSplit/>
          <w:trHeight w:val="454" w:hRule="atLeast"/>
        </w:trPr>
        <w:tc>
          <w:tcPr>
            <w:tcW w:w="2652" w:type="dxa"/>
            <w:tcBorders>
              <w:top w:val="single" w:color="auto" w:sz="4" w:space="0"/>
              <w:left w:val="single" w:color="auto" w:sz="4" w:space="0"/>
              <w:bottom w:val="single" w:color="auto" w:sz="4" w:space="0"/>
              <w:right w:val="single" w:color="auto" w:sz="6" w:space="0"/>
            </w:tcBorders>
            <w:vAlign w:val="center"/>
          </w:tcPr>
          <w:p>
            <w:pPr>
              <w:pStyle w:val="70"/>
              <w:autoSpaceDE w:val="0"/>
              <w:autoSpaceDN w:val="0"/>
              <w:adjustRightInd w:val="0"/>
              <w:spacing w:line="360" w:lineRule="auto"/>
              <w:jc w:val="center"/>
              <w:rPr>
                <w:rFonts w:ascii="宋体" w:hAnsi="宋体"/>
                <w:sz w:val="24"/>
                <w:szCs w:val="24"/>
              </w:rPr>
            </w:pPr>
            <w:r>
              <w:rPr>
                <w:rFonts w:hint="eastAsia" w:ascii="宋体" w:hAnsi="宋体"/>
                <w:sz w:val="24"/>
                <w:szCs w:val="24"/>
              </w:rPr>
              <w:t>分项</w:t>
            </w:r>
          </w:p>
        </w:tc>
        <w:tc>
          <w:tcPr>
            <w:tcW w:w="5995" w:type="dxa"/>
            <w:tcBorders>
              <w:top w:val="single" w:color="auto" w:sz="4" w:space="0"/>
              <w:left w:val="single" w:color="auto" w:sz="6" w:space="0"/>
              <w:bottom w:val="single" w:color="auto" w:sz="4" w:space="0"/>
              <w:right w:val="single" w:color="auto" w:sz="4" w:space="0"/>
            </w:tcBorders>
            <w:vAlign w:val="center"/>
          </w:tcPr>
          <w:p>
            <w:pPr>
              <w:pStyle w:val="70"/>
              <w:autoSpaceDE w:val="0"/>
              <w:autoSpaceDN w:val="0"/>
              <w:adjustRightInd w:val="0"/>
              <w:spacing w:line="360" w:lineRule="auto"/>
              <w:jc w:val="center"/>
              <w:rPr>
                <w:rFonts w:ascii="宋体" w:hAnsi="宋体"/>
                <w:sz w:val="24"/>
                <w:szCs w:val="24"/>
              </w:rPr>
            </w:pPr>
            <w:r>
              <w:rPr>
                <w:rFonts w:hint="eastAsia" w:ascii="宋体" w:hAnsi="宋体"/>
                <w:sz w:val="24"/>
                <w:szCs w:val="24"/>
              </w:rPr>
              <w:t>分项内容</w:t>
            </w:r>
          </w:p>
        </w:tc>
      </w:tr>
      <w:tr>
        <w:tblPrEx>
          <w:tblCellMar>
            <w:top w:w="0" w:type="dxa"/>
            <w:left w:w="30" w:type="dxa"/>
            <w:bottom w:w="0" w:type="dxa"/>
            <w:right w:w="30" w:type="dxa"/>
          </w:tblCellMar>
        </w:tblPrEx>
        <w:trPr>
          <w:cantSplit/>
          <w:trHeight w:val="454" w:hRule="atLeast"/>
        </w:trPr>
        <w:tc>
          <w:tcPr>
            <w:tcW w:w="2652" w:type="dxa"/>
            <w:tcBorders>
              <w:top w:val="single" w:color="auto" w:sz="6" w:space="0"/>
              <w:left w:val="single" w:color="auto" w:sz="4" w:space="0"/>
              <w:bottom w:val="single" w:color="auto" w:sz="6" w:space="0"/>
              <w:right w:val="single" w:color="auto" w:sz="6" w:space="0"/>
            </w:tcBorders>
            <w:vAlign w:val="center"/>
          </w:tcPr>
          <w:p>
            <w:pPr>
              <w:pStyle w:val="70"/>
              <w:autoSpaceDE w:val="0"/>
              <w:autoSpaceDN w:val="0"/>
              <w:adjustRightInd w:val="0"/>
              <w:spacing w:line="360" w:lineRule="auto"/>
              <w:jc w:val="center"/>
              <w:rPr>
                <w:rFonts w:ascii="宋体" w:hAnsi="宋体"/>
                <w:sz w:val="24"/>
                <w:szCs w:val="24"/>
              </w:rPr>
            </w:pPr>
            <w:r>
              <w:rPr>
                <w:rFonts w:hint="eastAsia" w:ascii="宋体" w:hAnsi="宋体"/>
                <w:sz w:val="24"/>
                <w:szCs w:val="24"/>
              </w:rPr>
              <w:t>投标总报价</w:t>
            </w:r>
          </w:p>
        </w:tc>
        <w:tc>
          <w:tcPr>
            <w:tcW w:w="5995" w:type="dxa"/>
            <w:tcBorders>
              <w:top w:val="single" w:color="auto" w:sz="6" w:space="0"/>
              <w:left w:val="single" w:color="auto" w:sz="6" w:space="0"/>
              <w:bottom w:val="single" w:color="auto" w:sz="6" w:space="0"/>
              <w:right w:val="single" w:color="auto" w:sz="4" w:space="0"/>
            </w:tcBorders>
            <w:vAlign w:val="center"/>
          </w:tcPr>
          <w:p>
            <w:pPr>
              <w:pStyle w:val="70"/>
              <w:autoSpaceDE w:val="0"/>
              <w:autoSpaceDN w:val="0"/>
              <w:adjustRightInd w:val="0"/>
              <w:spacing w:line="360" w:lineRule="auto"/>
              <w:ind w:left="176" w:leftChars="84" w:firstLine="2640" w:firstLineChars="1100"/>
              <w:rPr>
                <w:rFonts w:ascii="宋体" w:hAnsi="宋体"/>
                <w:sz w:val="24"/>
                <w:szCs w:val="24"/>
              </w:rPr>
            </w:pPr>
            <w:r>
              <w:rPr>
                <w:rFonts w:hint="eastAsia" w:ascii="宋体" w:hAnsi="宋体"/>
                <w:sz w:val="24"/>
                <w:szCs w:val="24"/>
              </w:rPr>
              <w:t>￥</w:t>
            </w:r>
          </w:p>
        </w:tc>
      </w:tr>
    </w:tbl>
    <w:p>
      <w:pPr>
        <w:pStyle w:val="69"/>
        <w:spacing w:line="360" w:lineRule="auto"/>
        <w:ind w:left="850" w:hanging="849" w:hangingChars="354"/>
        <w:rPr>
          <w:rFonts w:hAnsi="宋体"/>
          <w:sz w:val="24"/>
          <w:szCs w:val="24"/>
        </w:rPr>
      </w:pPr>
      <w:r>
        <w:rPr>
          <w:rFonts w:hint="eastAsia" w:hAnsi="宋体"/>
          <w:sz w:val="24"/>
          <w:szCs w:val="24"/>
        </w:rPr>
        <w:t>填报要求：</w:t>
      </w:r>
    </w:p>
    <w:p>
      <w:pPr>
        <w:pStyle w:val="69"/>
        <w:numPr>
          <w:ilvl w:val="0"/>
          <w:numId w:val="13"/>
        </w:numPr>
        <w:spacing w:line="360" w:lineRule="auto"/>
        <w:rPr>
          <w:rFonts w:hAnsi="宋体"/>
          <w:sz w:val="24"/>
          <w:szCs w:val="24"/>
        </w:rPr>
      </w:pPr>
      <w:r>
        <w:rPr>
          <w:rFonts w:hint="eastAsia" w:hAnsi="宋体"/>
          <w:sz w:val="24"/>
          <w:szCs w:val="24"/>
        </w:rPr>
        <w:t>投标总报价包含所有税费。</w:t>
      </w:r>
    </w:p>
    <w:p>
      <w:pPr>
        <w:pStyle w:val="69"/>
        <w:numPr>
          <w:ilvl w:val="0"/>
          <w:numId w:val="13"/>
        </w:numPr>
        <w:spacing w:line="360" w:lineRule="auto"/>
        <w:ind w:left="0" w:firstLine="0"/>
        <w:rPr>
          <w:rFonts w:hAnsi="宋体"/>
          <w:sz w:val="24"/>
          <w:szCs w:val="24"/>
        </w:rPr>
      </w:pPr>
      <w:r>
        <w:rPr>
          <w:rFonts w:hint="eastAsia" w:hAnsi="宋体"/>
          <w:sz w:val="24"/>
          <w:szCs w:val="24"/>
        </w:rPr>
        <w:t>如投标人报价低于最高限价</w:t>
      </w:r>
      <w:r>
        <w:rPr>
          <w:rFonts w:hint="eastAsia" w:hAnsi="宋体"/>
          <w:sz w:val="24"/>
          <w:szCs w:val="24"/>
          <w:lang w:val="en-US" w:eastAsia="zh-CN"/>
        </w:rPr>
        <w:t>6</w:t>
      </w:r>
      <w:r>
        <w:rPr>
          <w:rFonts w:hint="eastAsia" w:hAnsi="宋体"/>
          <w:sz w:val="24"/>
          <w:szCs w:val="24"/>
        </w:rPr>
        <w:t>0%的，必须在《实质性响应条款一览表》内说明报价理由。</w:t>
      </w:r>
    </w:p>
    <w:p>
      <w:pPr>
        <w:pStyle w:val="69"/>
        <w:spacing w:line="360" w:lineRule="auto"/>
        <w:ind w:left="853" w:hanging="853" w:hangingChars="354"/>
        <w:jc w:val="center"/>
        <w:rPr>
          <w:rFonts w:hAnsi="宋体"/>
          <w:b/>
          <w:sz w:val="22"/>
          <w:szCs w:val="24"/>
        </w:rPr>
      </w:pPr>
      <w:bookmarkStart w:id="160" w:name="_Toc3591745"/>
      <w:r>
        <w:rPr>
          <w:rFonts w:hint="eastAsia" w:hAnsi="宋体"/>
          <w:b/>
          <w:sz w:val="24"/>
          <w:szCs w:val="28"/>
        </w:rPr>
        <w:t>报价明细表</w:t>
      </w:r>
      <w:bookmarkEnd w:id="160"/>
    </w:p>
    <w:p>
      <w:pPr>
        <w:pStyle w:val="63"/>
        <w:spacing w:line="360" w:lineRule="auto"/>
        <w:jc w:val="right"/>
        <w:rPr>
          <w:rFonts w:ascii="宋体" w:hAnsi="宋体"/>
          <w:sz w:val="24"/>
        </w:rPr>
      </w:pPr>
      <w:r>
        <w:rPr>
          <w:rFonts w:hint="eastAsia" w:ascii="宋体" w:hAnsi="宋体"/>
          <w:sz w:val="24"/>
        </w:rPr>
        <w:t xml:space="preserve"> [货币单位：人民币元]</w:t>
      </w:r>
    </w:p>
    <w:tbl>
      <w:tblPr>
        <w:tblStyle w:val="27"/>
        <w:tblW w:w="8373" w:type="dxa"/>
        <w:tblInd w:w="0" w:type="dxa"/>
        <w:tblLayout w:type="fixed"/>
        <w:tblCellMar>
          <w:top w:w="0" w:type="dxa"/>
          <w:left w:w="30" w:type="dxa"/>
          <w:bottom w:w="0" w:type="dxa"/>
          <w:right w:w="30" w:type="dxa"/>
        </w:tblCellMar>
      </w:tblPr>
      <w:tblGrid>
        <w:gridCol w:w="636"/>
        <w:gridCol w:w="4923"/>
        <w:gridCol w:w="1417"/>
        <w:gridCol w:w="1397"/>
      </w:tblGrid>
      <w:tr>
        <w:tblPrEx>
          <w:tblCellMar>
            <w:top w:w="0" w:type="dxa"/>
            <w:left w:w="30" w:type="dxa"/>
            <w:bottom w:w="0" w:type="dxa"/>
            <w:right w:w="30" w:type="dxa"/>
          </w:tblCellMar>
        </w:tblPrEx>
        <w:trPr>
          <w:cantSplit/>
          <w:trHeight w:val="530" w:hRule="atLeast"/>
        </w:trPr>
        <w:tc>
          <w:tcPr>
            <w:tcW w:w="636" w:type="dxa"/>
            <w:tcBorders>
              <w:top w:val="single" w:color="auto" w:sz="4" w:space="0"/>
              <w:left w:val="single" w:color="auto" w:sz="4" w:space="0"/>
              <w:bottom w:val="single" w:color="auto" w:sz="4" w:space="0"/>
              <w:right w:val="single" w:color="auto" w:sz="6" w:space="0"/>
            </w:tcBorders>
            <w:vAlign w:val="center"/>
          </w:tcPr>
          <w:p>
            <w:pPr>
              <w:pStyle w:val="63"/>
              <w:autoSpaceDE w:val="0"/>
              <w:autoSpaceDN w:val="0"/>
              <w:adjustRightInd w:val="0"/>
              <w:spacing w:line="360" w:lineRule="auto"/>
              <w:ind w:right="84" w:rightChars="40"/>
              <w:jc w:val="center"/>
              <w:rPr>
                <w:rFonts w:ascii="宋体" w:hAnsi="宋体"/>
                <w:sz w:val="24"/>
              </w:rPr>
            </w:pPr>
            <w:r>
              <w:rPr>
                <w:rFonts w:hint="eastAsia" w:ascii="宋体" w:hAnsi="宋体"/>
                <w:sz w:val="24"/>
              </w:rPr>
              <w:t>序号</w:t>
            </w:r>
          </w:p>
        </w:tc>
        <w:tc>
          <w:tcPr>
            <w:tcW w:w="4923" w:type="dxa"/>
            <w:tcBorders>
              <w:top w:val="single" w:color="auto" w:sz="4" w:space="0"/>
              <w:left w:val="single" w:color="auto" w:sz="6" w:space="0"/>
              <w:bottom w:val="single" w:color="auto" w:sz="4" w:space="0"/>
              <w:right w:val="single" w:color="auto" w:sz="4" w:space="0"/>
            </w:tcBorders>
            <w:vAlign w:val="center"/>
          </w:tcPr>
          <w:p>
            <w:pPr>
              <w:pStyle w:val="63"/>
              <w:autoSpaceDE w:val="0"/>
              <w:autoSpaceDN w:val="0"/>
              <w:adjustRightInd w:val="0"/>
              <w:spacing w:line="360" w:lineRule="auto"/>
              <w:ind w:right="84" w:rightChars="40"/>
              <w:jc w:val="center"/>
              <w:rPr>
                <w:rFonts w:ascii="宋体" w:hAnsi="宋体"/>
                <w:sz w:val="24"/>
              </w:rPr>
            </w:pPr>
            <w:r>
              <w:rPr>
                <w:rFonts w:hint="eastAsia" w:ascii="宋体" w:hAnsi="宋体"/>
                <w:sz w:val="24"/>
              </w:rPr>
              <w:t>报价项目</w:t>
            </w:r>
          </w:p>
        </w:tc>
        <w:tc>
          <w:tcPr>
            <w:tcW w:w="1417" w:type="dxa"/>
            <w:tcBorders>
              <w:top w:val="single" w:color="auto" w:sz="4" w:space="0"/>
              <w:left w:val="single" w:color="auto" w:sz="4" w:space="0"/>
              <w:bottom w:val="single" w:color="auto" w:sz="4" w:space="0"/>
              <w:right w:val="single" w:color="auto" w:sz="6" w:space="0"/>
            </w:tcBorders>
            <w:vAlign w:val="center"/>
          </w:tcPr>
          <w:p>
            <w:pPr>
              <w:pStyle w:val="62"/>
              <w:spacing w:line="360" w:lineRule="auto"/>
              <w:ind w:right="84" w:rightChars="40"/>
              <w:jc w:val="center"/>
              <w:rPr>
                <w:rFonts w:hAnsi="宋体" w:cs="Courier New"/>
                <w:sz w:val="24"/>
                <w:szCs w:val="24"/>
              </w:rPr>
            </w:pPr>
            <w:r>
              <w:rPr>
                <w:rFonts w:hint="eastAsia" w:hAnsi="宋体" w:cs="Courier New"/>
                <w:sz w:val="24"/>
                <w:szCs w:val="24"/>
              </w:rPr>
              <w:t>报价</w:t>
            </w:r>
          </w:p>
        </w:tc>
        <w:tc>
          <w:tcPr>
            <w:tcW w:w="1397" w:type="dxa"/>
            <w:tcBorders>
              <w:top w:val="single" w:color="auto" w:sz="4" w:space="0"/>
              <w:left w:val="single" w:color="auto" w:sz="6" w:space="0"/>
              <w:bottom w:val="single" w:color="auto" w:sz="4" w:space="0"/>
              <w:right w:val="single" w:color="auto" w:sz="4" w:space="0"/>
            </w:tcBorders>
            <w:vAlign w:val="center"/>
          </w:tcPr>
          <w:p>
            <w:pPr>
              <w:pStyle w:val="63"/>
              <w:autoSpaceDE w:val="0"/>
              <w:autoSpaceDN w:val="0"/>
              <w:adjustRightInd w:val="0"/>
              <w:spacing w:line="360" w:lineRule="auto"/>
              <w:ind w:right="84" w:rightChars="40"/>
              <w:jc w:val="center"/>
              <w:rPr>
                <w:rFonts w:ascii="宋体" w:hAnsi="宋体"/>
                <w:sz w:val="24"/>
              </w:rPr>
            </w:pPr>
            <w:r>
              <w:rPr>
                <w:rFonts w:hint="eastAsia" w:ascii="宋体" w:hAnsi="宋体"/>
                <w:sz w:val="24"/>
              </w:rPr>
              <w:t>备注</w:t>
            </w:r>
          </w:p>
        </w:tc>
      </w:tr>
      <w:tr>
        <w:tblPrEx>
          <w:tblCellMar>
            <w:top w:w="0" w:type="dxa"/>
            <w:left w:w="30" w:type="dxa"/>
            <w:bottom w:w="0" w:type="dxa"/>
            <w:right w:w="30" w:type="dxa"/>
          </w:tblCellMar>
        </w:tblPrEx>
        <w:trPr>
          <w:cantSplit/>
          <w:trHeight w:val="318" w:hRule="atLeast"/>
        </w:trPr>
        <w:tc>
          <w:tcPr>
            <w:tcW w:w="636" w:type="dxa"/>
            <w:tcBorders>
              <w:top w:val="single" w:color="auto" w:sz="4" w:space="0"/>
              <w:left w:val="single" w:color="auto" w:sz="4" w:space="0"/>
              <w:bottom w:val="single" w:color="auto" w:sz="6" w:space="0"/>
              <w:right w:val="single" w:color="auto" w:sz="6" w:space="0"/>
            </w:tcBorders>
            <w:vAlign w:val="center"/>
          </w:tcPr>
          <w:p>
            <w:pPr>
              <w:pStyle w:val="63"/>
              <w:autoSpaceDE w:val="0"/>
              <w:autoSpaceDN w:val="0"/>
              <w:adjustRightInd w:val="0"/>
              <w:spacing w:line="360" w:lineRule="auto"/>
              <w:ind w:right="84" w:rightChars="40"/>
              <w:jc w:val="center"/>
              <w:rPr>
                <w:rFonts w:ascii="宋体" w:hAnsi="宋体"/>
                <w:sz w:val="24"/>
              </w:rPr>
            </w:pPr>
            <w:r>
              <w:rPr>
                <w:rFonts w:hint="eastAsia" w:ascii="宋体" w:hAnsi="宋体"/>
                <w:sz w:val="24"/>
              </w:rPr>
              <w:t>1</w:t>
            </w:r>
          </w:p>
        </w:tc>
        <w:tc>
          <w:tcPr>
            <w:tcW w:w="4923" w:type="dxa"/>
            <w:tcBorders>
              <w:top w:val="single" w:color="auto" w:sz="4" w:space="0"/>
              <w:left w:val="single" w:color="auto" w:sz="6" w:space="0"/>
              <w:bottom w:val="single" w:color="auto" w:sz="6" w:space="0"/>
              <w:right w:val="single" w:color="auto" w:sz="4" w:space="0"/>
            </w:tcBorders>
          </w:tcPr>
          <w:p>
            <w:pPr>
              <w:pStyle w:val="63"/>
              <w:autoSpaceDE w:val="0"/>
              <w:autoSpaceDN w:val="0"/>
              <w:adjustRightInd w:val="0"/>
              <w:spacing w:line="360" w:lineRule="auto"/>
              <w:ind w:right="84" w:rightChars="40"/>
              <w:jc w:val="center"/>
              <w:rPr>
                <w:rFonts w:ascii="宋体" w:hAnsi="宋体"/>
                <w:sz w:val="24"/>
              </w:rPr>
            </w:pPr>
          </w:p>
        </w:tc>
        <w:tc>
          <w:tcPr>
            <w:tcW w:w="1417" w:type="dxa"/>
            <w:tcBorders>
              <w:top w:val="single" w:color="auto" w:sz="4" w:space="0"/>
              <w:left w:val="single" w:color="auto" w:sz="4" w:space="0"/>
              <w:bottom w:val="single" w:color="auto" w:sz="6" w:space="0"/>
              <w:right w:val="single" w:color="auto" w:sz="6" w:space="0"/>
            </w:tcBorders>
            <w:vAlign w:val="center"/>
          </w:tcPr>
          <w:p>
            <w:pPr>
              <w:pStyle w:val="63"/>
              <w:spacing w:line="360" w:lineRule="auto"/>
              <w:ind w:right="84" w:rightChars="40"/>
              <w:jc w:val="center"/>
              <w:rPr>
                <w:rFonts w:ascii="宋体" w:hAnsi="宋体"/>
                <w:sz w:val="24"/>
              </w:rPr>
            </w:pPr>
          </w:p>
        </w:tc>
        <w:tc>
          <w:tcPr>
            <w:tcW w:w="1397" w:type="dxa"/>
            <w:tcBorders>
              <w:top w:val="single" w:color="auto" w:sz="4" w:space="0"/>
              <w:left w:val="single" w:color="auto" w:sz="6" w:space="0"/>
              <w:bottom w:val="single" w:color="auto" w:sz="6" w:space="0"/>
              <w:right w:val="single" w:color="auto" w:sz="4" w:space="0"/>
            </w:tcBorders>
            <w:vAlign w:val="center"/>
          </w:tcPr>
          <w:p>
            <w:pPr>
              <w:pStyle w:val="63"/>
              <w:spacing w:line="360" w:lineRule="auto"/>
              <w:ind w:right="84" w:rightChars="40"/>
              <w:jc w:val="center"/>
              <w:rPr>
                <w:rFonts w:ascii="宋体" w:hAnsi="宋体"/>
                <w:sz w:val="24"/>
              </w:rPr>
            </w:pPr>
          </w:p>
        </w:tc>
      </w:tr>
      <w:tr>
        <w:tblPrEx>
          <w:tblCellMar>
            <w:top w:w="0" w:type="dxa"/>
            <w:left w:w="30" w:type="dxa"/>
            <w:bottom w:w="0" w:type="dxa"/>
            <w:right w:w="30" w:type="dxa"/>
          </w:tblCellMar>
        </w:tblPrEx>
        <w:trPr>
          <w:cantSplit/>
          <w:trHeight w:val="318" w:hRule="atLeast"/>
        </w:trPr>
        <w:tc>
          <w:tcPr>
            <w:tcW w:w="636" w:type="dxa"/>
            <w:tcBorders>
              <w:top w:val="single" w:color="auto" w:sz="6" w:space="0"/>
              <w:left w:val="single" w:color="auto" w:sz="4" w:space="0"/>
              <w:bottom w:val="single" w:color="auto" w:sz="6" w:space="0"/>
              <w:right w:val="single" w:color="auto" w:sz="6" w:space="0"/>
            </w:tcBorders>
            <w:vAlign w:val="center"/>
          </w:tcPr>
          <w:p>
            <w:pPr>
              <w:pStyle w:val="63"/>
              <w:autoSpaceDE w:val="0"/>
              <w:autoSpaceDN w:val="0"/>
              <w:adjustRightInd w:val="0"/>
              <w:spacing w:line="360" w:lineRule="auto"/>
              <w:ind w:right="84" w:rightChars="40"/>
              <w:jc w:val="center"/>
              <w:rPr>
                <w:rFonts w:ascii="宋体" w:hAnsi="宋体"/>
                <w:sz w:val="24"/>
              </w:rPr>
            </w:pPr>
            <w:r>
              <w:rPr>
                <w:rFonts w:hint="eastAsia" w:ascii="宋体" w:hAnsi="宋体"/>
                <w:sz w:val="24"/>
              </w:rPr>
              <w:t>2</w:t>
            </w:r>
          </w:p>
        </w:tc>
        <w:tc>
          <w:tcPr>
            <w:tcW w:w="4923" w:type="dxa"/>
            <w:tcBorders>
              <w:top w:val="single" w:color="auto" w:sz="6" w:space="0"/>
              <w:left w:val="single" w:color="auto" w:sz="6" w:space="0"/>
              <w:bottom w:val="single" w:color="auto" w:sz="6" w:space="0"/>
              <w:right w:val="single" w:color="auto" w:sz="4" w:space="0"/>
            </w:tcBorders>
          </w:tcPr>
          <w:p>
            <w:pPr>
              <w:pStyle w:val="63"/>
              <w:autoSpaceDE w:val="0"/>
              <w:autoSpaceDN w:val="0"/>
              <w:adjustRightInd w:val="0"/>
              <w:spacing w:line="360" w:lineRule="auto"/>
              <w:ind w:right="84" w:rightChars="40"/>
              <w:jc w:val="center"/>
              <w:rPr>
                <w:rFonts w:ascii="宋体" w:hAnsi="宋体"/>
                <w:sz w:val="24"/>
              </w:rPr>
            </w:pPr>
          </w:p>
        </w:tc>
        <w:tc>
          <w:tcPr>
            <w:tcW w:w="1417" w:type="dxa"/>
            <w:tcBorders>
              <w:top w:val="single" w:color="auto" w:sz="6" w:space="0"/>
              <w:left w:val="single" w:color="auto" w:sz="4" w:space="0"/>
              <w:bottom w:val="single" w:color="auto" w:sz="6" w:space="0"/>
              <w:right w:val="single" w:color="auto" w:sz="6" w:space="0"/>
            </w:tcBorders>
            <w:vAlign w:val="center"/>
          </w:tcPr>
          <w:p>
            <w:pPr>
              <w:pStyle w:val="63"/>
              <w:autoSpaceDE w:val="0"/>
              <w:autoSpaceDN w:val="0"/>
              <w:adjustRightInd w:val="0"/>
              <w:spacing w:line="360" w:lineRule="auto"/>
              <w:ind w:right="84" w:rightChars="40"/>
              <w:jc w:val="center"/>
              <w:rPr>
                <w:rFonts w:ascii="宋体" w:hAnsi="宋体"/>
                <w:sz w:val="24"/>
              </w:rPr>
            </w:pPr>
          </w:p>
        </w:tc>
        <w:tc>
          <w:tcPr>
            <w:tcW w:w="1397" w:type="dxa"/>
            <w:tcBorders>
              <w:top w:val="single" w:color="auto" w:sz="6" w:space="0"/>
              <w:left w:val="single" w:color="auto" w:sz="6" w:space="0"/>
              <w:bottom w:val="single" w:color="auto" w:sz="6" w:space="0"/>
              <w:right w:val="single" w:color="auto" w:sz="4" w:space="0"/>
            </w:tcBorders>
            <w:vAlign w:val="center"/>
          </w:tcPr>
          <w:p>
            <w:pPr>
              <w:pStyle w:val="63"/>
              <w:autoSpaceDE w:val="0"/>
              <w:autoSpaceDN w:val="0"/>
              <w:adjustRightInd w:val="0"/>
              <w:spacing w:line="360" w:lineRule="auto"/>
              <w:ind w:right="84" w:rightChars="40"/>
              <w:jc w:val="center"/>
              <w:rPr>
                <w:rFonts w:ascii="宋体" w:hAnsi="宋体"/>
                <w:sz w:val="24"/>
              </w:rPr>
            </w:pPr>
          </w:p>
        </w:tc>
      </w:tr>
      <w:tr>
        <w:tblPrEx>
          <w:tblCellMar>
            <w:top w:w="0" w:type="dxa"/>
            <w:left w:w="30" w:type="dxa"/>
            <w:bottom w:w="0" w:type="dxa"/>
            <w:right w:w="30" w:type="dxa"/>
          </w:tblCellMar>
        </w:tblPrEx>
        <w:trPr>
          <w:cantSplit/>
          <w:trHeight w:val="318" w:hRule="atLeast"/>
        </w:trPr>
        <w:tc>
          <w:tcPr>
            <w:tcW w:w="636" w:type="dxa"/>
            <w:tcBorders>
              <w:top w:val="single" w:color="auto" w:sz="6" w:space="0"/>
              <w:left w:val="single" w:color="auto" w:sz="4" w:space="0"/>
              <w:bottom w:val="single" w:color="auto" w:sz="6" w:space="0"/>
              <w:right w:val="single" w:color="auto" w:sz="6" w:space="0"/>
            </w:tcBorders>
            <w:vAlign w:val="center"/>
          </w:tcPr>
          <w:p>
            <w:pPr>
              <w:pStyle w:val="63"/>
              <w:autoSpaceDE w:val="0"/>
              <w:autoSpaceDN w:val="0"/>
              <w:adjustRightInd w:val="0"/>
              <w:spacing w:line="360" w:lineRule="auto"/>
              <w:ind w:right="84" w:rightChars="40"/>
              <w:jc w:val="center"/>
              <w:rPr>
                <w:rFonts w:ascii="宋体" w:hAnsi="宋体"/>
                <w:sz w:val="24"/>
              </w:rPr>
            </w:pPr>
            <w:r>
              <w:rPr>
                <w:rFonts w:hint="eastAsia" w:ascii="宋体" w:hAnsi="宋体"/>
                <w:sz w:val="24"/>
              </w:rPr>
              <w:t>3</w:t>
            </w:r>
          </w:p>
        </w:tc>
        <w:tc>
          <w:tcPr>
            <w:tcW w:w="4923" w:type="dxa"/>
            <w:tcBorders>
              <w:top w:val="single" w:color="auto" w:sz="6" w:space="0"/>
              <w:left w:val="single" w:color="auto" w:sz="6" w:space="0"/>
              <w:bottom w:val="single" w:color="auto" w:sz="6" w:space="0"/>
              <w:right w:val="single" w:color="auto" w:sz="4" w:space="0"/>
            </w:tcBorders>
          </w:tcPr>
          <w:p>
            <w:pPr>
              <w:pStyle w:val="63"/>
              <w:autoSpaceDE w:val="0"/>
              <w:autoSpaceDN w:val="0"/>
              <w:adjustRightInd w:val="0"/>
              <w:spacing w:line="360" w:lineRule="auto"/>
              <w:ind w:right="84" w:rightChars="40"/>
              <w:jc w:val="center"/>
              <w:rPr>
                <w:rFonts w:ascii="宋体" w:hAnsi="宋体"/>
                <w:sz w:val="24"/>
              </w:rPr>
            </w:pPr>
          </w:p>
        </w:tc>
        <w:tc>
          <w:tcPr>
            <w:tcW w:w="1417" w:type="dxa"/>
            <w:tcBorders>
              <w:top w:val="single" w:color="auto" w:sz="6" w:space="0"/>
              <w:left w:val="single" w:color="auto" w:sz="4" w:space="0"/>
              <w:bottom w:val="single" w:color="auto" w:sz="6" w:space="0"/>
              <w:right w:val="single" w:color="auto" w:sz="6" w:space="0"/>
            </w:tcBorders>
            <w:vAlign w:val="center"/>
          </w:tcPr>
          <w:p>
            <w:pPr>
              <w:pStyle w:val="63"/>
              <w:autoSpaceDE w:val="0"/>
              <w:autoSpaceDN w:val="0"/>
              <w:adjustRightInd w:val="0"/>
              <w:spacing w:line="360" w:lineRule="auto"/>
              <w:ind w:right="84" w:rightChars="40"/>
              <w:jc w:val="center"/>
              <w:rPr>
                <w:rFonts w:ascii="宋体" w:hAnsi="宋体"/>
                <w:sz w:val="24"/>
              </w:rPr>
            </w:pPr>
          </w:p>
        </w:tc>
        <w:tc>
          <w:tcPr>
            <w:tcW w:w="1397" w:type="dxa"/>
            <w:tcBorders>
              <w:top w:val="single" w:color="auto" w:sz="6" w:space="0"/>
              <w:left w:val="single" w:color="auto" w:sz="6" w:space="0"/>
              <w:bottom w:val="single" w:color="auto" w:sz="6" w:space="0"/>
              <w:right w:val="single" w:color="auto" w:sz="4" w:space="0"/>
            </w:tcBorders>
            <w:vAlign w:val="center"/>
          </w:tcPr>
          <w:p>
            <w:pPr>
              <w:pStyle w:val="63"/>
              <w:autoSpaceDE w:val="0"/>
              <w:autoSpaceDN w:val="0"/>
              <w:adjustRightInd w:val="0"/>
              <w:spacing w:line="360" w:lineRule="auto"/>
              <w:ind w:right="84" w:rightChars="40"/>
              <w:jc w:val="center"/>
              <w:rPr>
                <w:rFonts w:ascii="宋体" w:hAnsi="宋体"/>
                <w:sz w:val="24"/>
              </w:rPr>
            </w:pPr>
          </w:p>
        </w:tc>
      </w:tr>
      <w:tr>
        <w:tblPrEx>
          <w:tblCellMar>
            <w:top w:w="0" w:type="dxa"/>
            <w:left w:w="30" w:type="dxa"/>
            <w:bottom w:w="0" w:type="dxa"/>
            <w:right w:w="30" w:type="dxa"/>
          </w:tblCellMar>
        </w:tblPrEx>
        <w:trPr>
          <w:cantSplit/>
          <w:trHeight w:val="318" w:hRule="atLeast"/>
        </w:trPr>
        <w:tc>
          <w:tcPr>
            <w:tcW w:w="636" w:type="dxa"/>
            <w:tcBorders>
              <w:top w:val="single" w:color="auto" w:sz="6" w:space="0"/>
              <w:left w:val="single" w:color="auto" w:sz="4" w:space="0"/>
              <w:bottom w:val="single" w:color="auto" w:sz="6" w:space="0"/>
              <w:right w:val="single" w:color="auto" w:sz="6" w:space="0"/>
            </w:tcBorders>
            <w:vAlign w:val="center"/>
          </w:tcPr>
          <w:p>
            <w:pPr>
              <w:pStyle w:val="63"/>
              <w:autoSpaceDE w:val="0"/>
              <w:autoSpaceDN w:val="0"/>
              <w:adjustRightInd w:val="0"/>
              <w:spacing w:line="360" w:lineRule="auto"/>
              <w:ind w:right="84" w:rightChars="40"/>
              <w:jc w:val="center"/>
              <w:rPr>
                <w:rFonts w:ascii="宋体" w:hAnsi="宋体"/>
                <w:sz w:val="24"/>
              </w:rPr>
            </w:pPr>
            <w:r>
              <w:rPr>
                <w:rFonts w:hint="eastAsia" w:ascii="宋体" w:hAnsi="宋体"/>
                <w:sz w:val="24"/>
              </w:rPr>
              <w:t>4</w:t>
            </w:r>
          </w:p>
        </w:tc>
        <w:tc>
          <w:tcPr>
            <w:tcW w:w="4923" w:type="dxa"/>
            <w:tcBorders>
              <w:top w:val="single" w:color="auto" w:sz="6" w:space="0"/>
              <w:left w:val="single" w:color="auto" w:sz="6" w:space="0"/>
              <w:bottom w:val="single" w:color="auto" w:sz="6" w:space="0"/>
              <w:right w:val="single" w:color="auto" w:sz="4" w:space="0"/>
            </w:tcBorders>
          </w:tcPr>
          <w:p>
            <w:pPr>
              <w:pStyle w:val="63"/>
              <w:autoSpaceDE w:val="0"/>
              <w:autoSpaceDN w:val="0"/>
              <w:adjustRightInd w:val="0"/>
              <w:spacing w:line="360" w:lineRule="auto"/>
              <w:ind w:right="84" w:rightChars="40"/>
              <w:jc w:val="center"/>
              <w:rPr>
                <w:rFonts w:ascii="宋体" w:hAnsi="宋体"/>
                <w:sz w:val="24"/>
              </w:rPr>
            </w:pPr>
          </w:p>
        </w:tc>
        <w:tc>
          <w:tcPr>
            <w:tcW w:w="1417" w:type="dxa"/>
            <w:tcBorders>
              <w:top w:val="single" w:color="auto" w:sz="6" w:space="0"/>
              <w:left w:val="single" w:color="auto" w:sz="4" w:space="0"/>
              <w:bottom w:val="single" w:color="auto" w:sz="6" w:space="0"/>
              <w:right w:val="single" w:color="auto" w:sz="6" w:space="0"/>
            </w:tcBorders>
            <w:vAlign w:val="center"/>
          </w:tcPr>
          <w:p>
            <w:pPr>
              <w:pStyle w:val="63"/>
              <w:autoSpaceDE w:val="0"/>
              <w:autoSpaceDN w:val="0"/>
              <w:adjustRightInd w:val="0"/>
              <w:spacing w:line="360" w:lineRule="auto"/>
              <w:ind w:right="84" w:rightChars="40"/>
              <w:jc w:val="center"/>
              <w:rPr>
                <w:rFonts w:ascii="宋体" w:hAnsi="宋体"/>
                <w:sz w:val="24"/>
              </w:rPr>
            </w:pPr>
          </w:p>
        </w:tc>
        <w:tc>
          <w:tcPr>
            <w:tcW w:w="1397" w:type="dxa"/>
            <w:tcBorders>
              <w:top w:val="single" w:color="auto" w:sz="6" w:space="0"/>
              <w:left w:val="single" w:color="auto" w:sz="6" w:space="0"/>
              <w:bottom w:val="single" w:color="auto" w:sz="6" w:space="0"/>
              <w:right w:val="single" w:color="auto" w:sz="4" w:space="0"/>
            </w:tcBorders>
            <w:vAlign w:val="center"/>
          </w:tcPr>
          <w:p>
            <w:pPr>
              <w:pStyle w:val="63"/>
              <w:autoSpaceDE w:val="0"/>
              <w:autoSpaceDN w:val="0"/>
              <w:adjustRightInd w:val="0"/>
              <w:spacing w:line="360" w:lineRule="auto"/>
              <w:ind w:right="84" w:rightChars="40"/>
              <w:jc w:val="center"/>
              <w:rPr>
                <w:rFonts w:ascii="宋体" w:hAnsi="宋体"/>
                <w:sz w:val="24"/>
              </w:rPr>
            </w:pPr>
          </w:p>
        </w:tc>
      </w:tr>
      <w:tr>
        <w:tblPrEx>
          <w:tblCellMar>
            <w:top w:w="0" w:type="dxa"/>
            <w:left w:w="30" w:type="dxa"/>
            <w:bottom w:w="0" w:type="dxa"/>
            <w:right w:w="30" w:type="dxa"/>
          </w:tblCellMar>
        </w:tblPrEx>
        <w:trPr>
          <w:cantSplit/>
          <w:trHeight w:val="318" w:hRule="atLeast"/>
        </w:trPr>
        <w:tc>
          <w:tcPr>
            <w:tcW w:w="636" w:type="dxa"/>
            <w:tcBorders>
              <w:top w:val="single" w:color="auto" w:sz="6" w:space="0"/>
              <w:left w:val="single" w:color="auto" w:sz="4" w:space="0"/>
              <w:bottom w:val="single" w:color="auto" w:sz="6" w:space="0"/>
              <w:right w:val="single" w:color="auto" w:sz="6" w:space="0"/>
            </w:tcBorders>
            <w:vAlign w:val="center"/>
          </w:tcPr>
          <w:p>
            <w:pPr>
              <w:pStyle w:val="63"/>
              <w:autoSpaceDE w:val="0"/>
              <w:autoSpaceDN w:val="0"/>
              <w:adjustRightInd w:val="0"/>
              <w:spacing w:line="360" w:lineRule="auto"/>
              <w:ind w:right="84" w:rightChars="40"/>
              <w:jc w:val="center"/>
              <w:rPr>
                <w:rFonts w:ascii="宋体" w:hAnsi="宋体"/>
                <w:sz w:val="24"/>
              </w:rPr>
            </w:pPr>
            <w:r>
              <w:rPr>
                <w:rFonts w:hint="eastAsia" w:ascii="宋体" w:hAnsi="宋体"/>
                <w:sz w:val="24"/>
              </w:rPr>
              <w:t>5</w:t>
            </w:r>
          </w:p>
        </w:tc>
        <w:tc>
          <w:tcPr>
            <w:tcW w:w="4923" w:type="dxa"/>
            <w:tcBorders>
              <w:top w:val="single" w:color="auto" w:sz="6" w:space="0"/>
              <w:left w:val="single" w:color="auto" w:sz="6" w:space="0"/>
              <w:bottom w:val="single" w:color="auto" w:sz="6" w:space="0"/>
              <w:right w:val="single" w:color="auto" w:sz="4" w:space="0"/>
            </w:tcBorders>
          </w:tcPr>
          <w:p>
            <w:pPr>
              <w:pStyle w:val="63"/>
              <w:autoSpaceDE w:val="0"/>
              <w:autoSpaceDN w:val="0"/>
              <w:adjustRightInd w:val="0"/>
              <w:spacing w:line="360" w:lineRule="auto"/>
              <w:ind w:right="84" w:rightChars="40"/>
              <w:jc w:val="center"/>
              <w:rPr>
                <w:rFonts w:ascii="宋体" w:hAnsi="宋体"/>
                <w:sz w:val="24"/>
              </w:rPr>
            </w:pPr>
          </w:p>
        </w:tc>
        <w:tc>
          <w:tcPr>
            <w:tcW w:w="1417" w:type="dxa"/>
            <w:tcBorders>
              <w:top w:val="single" w:color="auto" w:sz="6" w:space="0"/>
              <w:left w:val="single" w:color="auto" w:sz="4" w:space="0"/>
              <w:bottom w:val="single" w:color="auto" w:sz="6" w:space="0"/>
              <w:right w:val="single" w:color="auto" w:sz="6" w:space="0"/>
            </w:tcBorders>
            <w:vAlign w:val="center"/>
          </w:tcPr>
          <w:p>
            <w:pPr>
              <w:pStyle w:val="63"/>
              <w:autoSpaceDE w:val="0"/>
              <w:autoSpaceDN w:val="0"/>
              <w:adjustRightInd w:val="0"/>
              <w:spacing w:line="360" w:lineRule="auto"/>
              <w:ind w:right="84" w:rightChars="40"/>
              <w:jc w:val="center"/>
              <w:rPr>
                <w:rFonts w:ascii="宋体" w:hAnsi="宋体"/>
                <w:sz w:val="24"/>
              </w:rPr>
            </w:pPr>
          </w:p>
        </w:tc>
        <w:tc>
          <w:tcPr>
            <w:tcW w:w="1397" w:type="dxa"/>
            <w:tcBorders>
              <w:top w:val="single" w:color="auto" w:sz="6" w:space="0"/>
              <w:left w:val="single" w:color="auto" w:sz="6" w:space="0"/>
              <w:bottom w:val="single" w:color="auto" w:sz="6" w:space="0"/>
              <w:right w:val="single" w:color="auto" w:sz="4" w:space="0"/>
            </w:tcBorders>
            <w:vAlign w:val="center"/>
          </w:tcPr>
          <w:p>
            <w:pPr>
              <w:pStyle w:val="63"/>
              <w:autoSpaceDE w:val="0"/>
              <w:autoSpaceDN w:val="0"/>
              <w:adjustRightInd w:val="0"/>
              <w:spacing w:line="360" w:lineRule="auto"/>
              <w:ind w:right="84" w:rightChars="40"/>
              <w:jc w:val="center"/>
              <w:rPr>
                <w:rFonts w:ascii="宋体" w:hAnsi="宋体"/>
                <w:sz w:val="24"/>
              </w:rPr>
            </w:pPr>
          </w:p>
        </w:tc>
      </w:tr>
      <w:tr>
        <w:tblPrEx>
          <w:tblCellMar>
            <w:top w:w="0" w:type="dxa"/>
            <w:left w:w="30" w:type="dxa"/>
            <w:bottom w:w="0" w:type="dxa"/>
            <w:right w:w="30" w:type="dxa"/>
          </w:tblCellMar>
        </w:tblPrEx>
        <w:trPr>
          <w:cantSplit/>
          <w:trHeight w:val="410" w:hRule="atLeast"/>
        </w:trPr>
        <w:tc>
          <w:tcPr>
            <w:tcW w:w="636" w:type="dxa"/>
            <w:tcBorders>
              <w:top w:val="single" w:color="auto" w:sz="6" w:space="0"/>
              <w:left w:val="single" w:color="auto" w:sz="4" w:space="0"/>
              <w:bottom w:val="single" w:color="auto" w:sz="4" w:space="0"/>
              <w:right w:val="single" w:color="auto" w:sz="4" w:space="0"/>
            </w:tcBorders>
            <w:vAlign w:val="center"/>
          </w:tcPr>
          <w:p>
            <w:pPr>
              <w:pStyle w:val="63"/>
              <w:autoSpaceDE w:val="0"/>
              <w:autoSpaceDN w:val="0"/>
              <w:adjustRightInd w:val="0"/>
              <w:spacing w:line="360" w:lineRule="auto"/>
              <w:ind w:right="84" w:rightChars="40"/>
              <w:jc w:val="center"/>
              <w:rPr>
                <w:rFonts w:ascii="宋体" w:hAnsi="宋体"/>
                <w:sz w:val="24"/>
              </w:rPr>
            </w:pPr>
            <w:r>
              <w:rPr>
                <w:rFonts w:hint="eastAsia" w:ascii="宋体" w:hAnsi="宋体"/>
                <w:sz w:val="24"/>
              </w:rPr>
              <w:t>合计</w:t>
            </w:r>
          </w:p>
        </w:tc>
        <w:tc>
          <w:tcPr>
            <w:tcW w:w="7737" w:type="dxa"/>
            <w:gridSpan w:val="3"/>
            <w:tcBorders>
              <w:top w:val="single" w:color="auto" w:sz="6" w:space="0"/>
              <w:left w:val="single" w:color="auto" w:sz="4" w:space="0"/>
              <w:bottom w:val="single" w:color="auto" w:sz="4" w:space="0"/>
              <w:right w:val="single" w:color="auto" w:sz="4" w:space="0"/>
            </w:tcBorders>
            <w:vAlign w:val="center"/>
          </w:tcPr>
          <w:p>
            <w:pPr>
              <w:pStyle w:val="63"/>
              <w:autoSpaceDE w:val="0"/>
              <w:autoSpaceDN w:val="0"/>
              <w:adjustRightInd w:val="0"/>
              <w:spacing w:line="360" w:lineRule="auto"/>
              <w:ind w:left="180" w:right="84" w:rightChars="40"/>
              <w:jc w:val="center"/>
              <w:rPr>
                <w:rFonts w:ascii="宋体" w:hAnsi="宋体"/>
                <w:sz w:val="24"/>
              </w:rPr>
            </w:pPr>
            <w:r>
              <w:rPr>
                <w:rFonts w:hint="eastAsia" w:ascii="宋体" w:hAnsi="宋体"/>
                <w:sz w:val="24"/>
              </w:rPr>
              <w:t>￥</w:t>
            </w:r>
          </w:p>
        </w:tc>
      </w:tr>
    </w:tbl>
    <w:p>
      <w:pPr>
        <w:pStyle w:val="92"/>
        <w:spacing w:line="360" w:lineRule="auto"/>
        <w:ind w:right="84" w:rightChars="40"/>
        <w:rPr>
          <w:rFonts w:ascii="宋体" w:hAnsi="宋体"/>
          <w:sz w:val="24"/>
          <w:szCs w:val="24"/>
        </w:rPr>
      </w:pPr>
      <w:r>
        <w:rPr>
          <w:rFonts w:hint="eastAsia" w:ascii="宋体" w:hAnsi="宋体"/>
          <w:sz w:val="24"/>
          <w:szCs w:val="24"/>
        </w:rPr>
        <w:t>填报要求：此表为《开标一览表》的报价明细表，如有缺项、漏项（数量不符合将被视为漏项），视为投标报价中已包含相关费用，采购人无须另外支付任何费用。</w:t>
      </w:r>
    </w:p>
    <w:p>
      <w:pPr>
        <w:pStyle w:val="4"/>
        <w:numPr>
          <w:ilvl w:val="0"/>
          <w:numId w:val="0"/>
        </w:numPr>
        <w:spacing w:before="156" w:after="156"/>
        <w:jc w:val="center"/>
        <w:rPr>
          <w:rFonts w:hAnsi="宋体" w:cs="Arial"/>
          <w:bCs w:val="0"/>
          <w:sz w:val="24"/>
          <w:szCs w:val="28"/>
        </w:rPr>
      </w:pPr>
      <w:bookmarkStart w:id="161" w:name="_Toc518605396"/>
      <w:bookmarkStart w:id="162" w:name="_Toc46738160"/>
      <w:bookmarkStart w:id="163" w:name="_Toc535633953"/>
      <w:bookmarkStart w:id="164" w:name="_Toc46738294"/>
      <w:bookmarkStart w:id="165" w:name="_Toc46738421"/>
      <w:bookmarkStart w:id="166" w:name="_Toc75917311"/>
      <w:bookmarkStart w:id="167" w:name="_Toc12118377"/>
      <w:bookmarkStart w:id="168" w:name="_Toc536777263"/>
      <w:bookmarkStart w:id="169" w:name="_Toc347481635"/>
      <w:bookmarkStart w:id="170" w:name="_Toc513448417"/>
      <w:bookmarkStart w:id="171" w:name="_Toc372145634"/>
      <w:r>
        <w:rPr>
          <w:rFonts w:hAnsi="宋体" w:cs="Arial"/>
          <w:bCs w:val="0"/>
          <w:sz w:val="24"/>
          <w:szCs w:val="28"/>
        </w:rPr>
        <w:br w:type="page"/>
      </w:r>
      <w:bookmarkStart w:id="172" w:name="_Toc3627196"/>
      <w:bookmarkStart w:id="173" w:name="_Toc7016564"/>
      <w:bookmarkStart w:id="174" w:name="_Toc32017"/>
      <w:bookmarkStart w:id="175" w:name="_Toc4326"/>
      <w:r>
        <w:rPr>
          <w:rFonts w:hint="eastAsia" w:hAnsi="宋体" w:cs="Arial"/>
          <w:bCs w:val="0"/>
          <w:sz w:val="24"/>
          <w:szCs w:val="28"/>
        </w:rPr>
        <w:t xml:space="preserve">附件1-3  </w:t>
      </w:r>
      <w:bookmarkEnd w:id="161"/>
      <w:bookmarkEnd w:id="162"/>
      <w:bookmarkEnd w:id="163"/>
      <w:bookmarkEnd w:id="164"/>
      <w:bookmarkEnd w:id="165"/>
      <w:bookmarkEnd w:id="166"/>
      <w:bookmarkEnd w:id="167"/>
      <w:bookmarkEnd w:id="168"/>
      <w:r>
        <w:rPr>
          <w:rFonts w:hint="eastAsia" w:hAnsi="宋体" w:cs="Arial"/>
          <w:bCs w:val="0"/>
          <w:sz w:val="24"/>
          <w:szCs w:val="28"/>
        </w:rPr>
        <w:t>投标响应与招标文件差异一览表</w:t>
      </w:r>
      <w:bookmarkEnd w:id="169"/>
      <w:bookmarkEnd w:id="170"/>
      <w:bookmarkEnd w:id="171"/>
      <w:bookmarkEnd w:id="172"/>
      <w:bookmarkEnd w:id="173"/>
      <w:bookmarkEnd w:id="174"/>
      <w:bookmarkEnd w:id="175"/>
    </w:p>
    <w:p>
      <w:pPr>
        <w:spacing w:line="360" w:lineRule="auto"/>
        <w:ind w:firstLine="210"/>
        <w:rPr>
          <w:rFonts w:ascii="宋体" w:hAnsi="宋体" w:cs="Arial"/>
          <w:b/>
          <w:sz w:val="24"/>
          <w:szCs w:val="28"/>
        </w:rPr>
      </w:pPr>
      <w:r>
        <w:rPr>
          <w:rFonts w:hint="eastAsia" w:ascii="宋体" w:hAnsi="宋体" w:cs="Arial"/>
          <w:sz w:val="24"/>
          <w:szCs w:val="28"/>
        </w:rPr>
        <w:t xml:space="preserve">                                                                               </w:t>
      </w:r>
    </w:p>
    <w:tbl>
      <w:tblPr>
        <w:tblStyle w:val="27"/>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09"/>
        <w:gridCol w:w="1844"/>
        <w:gridCol w:w="1765"/>
        <w:gridCol w:w="2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ascii="宋体" w:hAnsi="宋体" w:cs="Arial"/>
                <w:sz w:val="24"/>
                <w:szCs w:val="28"/>
              </w:rPr>
            </w:pPr>
            <w:r>
              <w:rPr>
                <w:rFonts w:hint="eastAsia" w:ascii="宋体" w:hAnsi="宋体" w:cs="Arial"/>
                <w:sz w:val="24"/>
                <w:szCs w:val="28"/>
              </w:rPr>
              <w:t>序号</w:t>
            </w:r>
          </w:p>
        </w:tc>
        <w:tc>
          <w:tcPr>
            <w:tcW w:w="2509" w:type="dxa"/>
          </w:tcPr>
          <w:p>
            <w:pPr>
              <w:spacing w:line="360" w:lineRule="auto"/>
              <w:jc w:val="center"/>
              <w:rPr>
                <w:rFonts w:ascii="宋体" w:hAnsi="宋体" w:cs="Arial"/>
                <w:sz w:val="24"/>
                <w:szCs w:val="28"/>
              </w:rPr>
            </w:pPr>
            <w:r>
              <w:rPr>
                <w:rFonts w:hint="eastAsia" w:ascii="宋体" w:hAnsi="宋体" w:cs="Arial"/>
                <w:sz w:val="24"/>
                <w:szCs w:val="28"/>
              </w:rPr>
              <w:t>招标文件要求</w:t>
            </w:r>
          </w:p>
        </w:tc>
        <w:tc>
          <w:tcPr>
            <w:tcW w:w="1844" w:type="dxa"/>
          </w:tcPr>
          <w:p>
            <w:pPr>
              <w:spacing w:line="360" w:lineRule="auto"/>
              <w:jc w:val="center"/>
              <w:rPr>
                <w:rFonts w:ascii="宋体" w:hAnsi="宋体" w:cs="Arial"/>
                <w:sz w:val="24"/>
                <w:szCs w:val="28"/>
              </w:rPr>
            </w:pPr>
            <w:r>
              <w:rPr>
                <w:rFonts w:hint="eastAsia" w:ascii="宋体" w:hAnsi="宋体" w:cs="Arial"/>
                <w:sz w:val="24"/>
                <w:szCs w:val="28"/>
              </w:rPr>
              <w:t>投标响应</w:t>
            </w:r>
          </w:p>
        </w:tc>
        <w:tc>
          <w:tcPr>
            <w:tcW w:w="1765" w:type="dxa"/>
          </w:tcPr>
          <w:p>
            <w:pPr>
              <w:spacing w:line="360" w:lineRule="auto"/>
              <w:jc w:val="center"/>
              <w:rPr>
                <w:rFonts w:ascii="宋体" w:hAnsi="宋体" w:cs="Arial"/>
                <w:sz w:val="24"/>
                <w:szCs w:val="28"/>
              </w:rPr>
            </w:pPr>
            <w:r>
              <w:rPr>
                <w:rFonts w:hint="eastAsia" w:ascii="宋体" w:hAnsi="宋体" w:cs="Arial"/>
                <w:sz w:val="24"/>
                <w:szCs w:val="28"/>
              </w:rPr>
              <w:t>差异</w:t>
            </w:r>
          </w:p>
        </w:tc>
        <w:tc>
          <w:tcPr>
            <w:tcW w:w="2739" w:type="dxa"/>
          </w:tcPr>
          <w:p>
            <w:pPr>
              <w:spacing w:line="360" w:lineRule="auto"/>
              <w:jc w:val="center"/>
              <w:rPr>
                <w:rFonts w:ascii="宋体" w:hAnsi="宋体" w:cs="Arial"/>
                <w:sz w:val="24"/>
                <w:szCs w:val="28"/>
              </w:rPr>
            </w:pPr>
            <w:r>
              <w:rPr>
                <w:rFonts w:hint="eastAsia" w:ascii="宋体" w:hAnsi="宋体" w:cs="Arial"/>
                <w:sz w:val="24"/>
                <w:szCs w:val="28"/>
              </w:rPr>
              <w:t>差异原因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ascii="宋体" w:hAnsi="宋体" w:cs="Arial"/>
                <w:b/>
                <w:sz w:val="24"/>
                <w:szCs w:val="28"/>
              </w:rPr>
            </w:pPr>
          </w:p>
        </w:tc>
        <w:tc>
          <w:tcPr>
            <w:tcW w:w="2509" w:type="dxa"/>
          </w:tcPr>
          <w:p>
            <w:pPr>
              <w:spacing w:line="360" w:lineRule="auto"/>
              <w:jc w:val="center"/>
              <w:rPr>
                <w:rFonts w:ascii="宋体" w:hAnsi="宋体" w:cs="Arial"/>
                <w:b/>
                <w:sz w:val="24"/>
                <w:szCs w:val="28"/>
              </w:rPr>
            </w:pPr>
          </w:p>
        </w:tc>
        <w:tc>
          <w:tcPr>
            <w:tcW w:w="1844" w:type="dxa"/>
          </w:tcPr>
          <w:p>
            <w:pPr>
              <w:spacing w:line="360" w:lineRule="auto"/>
              <w:jc w:val="center"/>
              <w:rPr>
                <w:rFonts w:ascii="宋体" w:hAnsi="宋体" w:cs="Arial"/>
                <w:b/>
                <w:sz w:val="24"/>
                <w:szCs w:val="28"/>
              </w:rPr>
            </w:pPr>
          </w:p>
        </w:tc>
        <w:tc>
          <w:tcPr>
            <w:tcW w:w="1765" w:type="dxa"/>
          </w:tcPr>
          <w:p>
            <w:pPr>
              <w:spacing w:line="360" w:lineRule="auto"/>
              <w:jc w:val="center"/>
              <w:rPr>
                <w:rFonts w:ascii="宋体" w:hAnsi="宋体" w:cs="Arial"/>
                <w:b/>
                <w:sz w:val="24"/>
                <w:szCs w:val="28"/>
              </w:rPr>
            </w:pPr>
          </w:p>
        </w:tc>
        <w:tc>
          <w:tcPr>
            <w:tcW w:w="2739" w:type="dxa"/>
          </w:tcPr>
          <w:p>
            <w:pPr>
              <w:spacing w:line="360" w:lineRule="auto"/>
              <w:jc w:val="center"/>
              <w:rPr>
                <w:rFonts w:ascii="宋体" w:hAnsi="宋体" w:cs="Arial"/>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ascii="宋体" w:hAnsi="宋体" w:cs="Arial"/>
                <w:b/>
                <w:sz w:val="24"/>
                <w:szCs w:val="28"/>
              </w:rPr>
            </w:pPr>
          </w:p>
        </w:tc>
        <w:tc>
          <w:tcPr>
            <w:tcW w:w="2509" w:type="dxa"/>
          </w:tcPr>
          <w:p>
            <w:pPr>
              <w:spacing w:line="360" w:lineRule="auto"/>
              <w:jc w:val="center"/>
              <w:rPr>
                <w:rFonts w:ascii="宋体" w:hAnsi="宋体" w:cs="Arial"/>
                <w:b/>
                <w:sz w:val="24"/>
                <w:szCs w:val="28"/>
              </w:rPr>
            </w:pPr>
          </w:p>
        </w:tc>
        <w:tc>
          <w:tcPr>
            <w:tcW w:w="1844" w:type="dxa"/>
          </w:tcPr>
          <w:p>
            <w:pPr>
              <w:spacing w:line="360" w:lineRule="auto"/>
              <w:jc w:val="center"/>
              <w:rPr>
                <w:rFonts w:ascii="宋体" w:hAnsi="宋体" w:cs="Arial"/>
                <w:b/>
                <w:sz w:val="24"/>
                <w:szCs w:val="28"/>
              </w:rPr>
            </w:pPr>
          </w:p>
        </w:tc>
        <w:tc>
          <w:tcPr>
            <w:tcW w:w="1765" w:type="dxa"/>
          </w:tcPr>
          <w:p>
            <w:pPr>
              <w:spacing w:line="360" w:lineRule="auto"/>
              <w:jc w:val="center"/>
              <w:rPr>
                <w:rFonts w:ascii="宋体" w:hAnsi="宋体" w:cs="Arial"/>
                <w:b/>
                <w:sz w:val="24"/>
                <w:szCs w:val="28"/>
              </w:rPr>
            </w:pPr>
          </w:p>
        </w:tc>
        <w:tc>
          <w:tcPr>
            <w:tcW w:w="2739" w:type="dxa"/>
          </w:tcPr>
          <w:p>
            <w:pPr>
              <w:spacing w:line="360" w:lineRule="auto"/>
              <w:jc w:val="center"/>
              <w:rPr>
                <w:rFonts w:ascii="宋体" w:hAnsi="宋体" w:cs="Arial"/>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ascii="宋体" w:hAnsi="宋体" w:cs="Arial"/>
                <w:b/>
                <w:sz w:val="24"/>
                <w:szCs w:val="28"/>
              </w:rPr>
            </w:pPr>
          </w:p>
        </w:tc>
        <w:tc>
          <w:tcPr>
            <w:tcW w:w="2509" w:type="dxa"/>
          </w:tcPr>
          <w:p>
            <w:pPr>
              <w:spacing w:line="360" w:lineRule="auto"/>
              <w:jc w:val="center"/>
              <w:rPr>
                <w:rFonts w:ascii="宋体" w:hAnsi="宋体" w:cs="Arial"/>
                <w:b/>
                <w:sz w:val="24"/>
                <w:szCs w:val="28"/>
              </w:rPr>
            </w:pPr>
          </w:p>
        </w:tc>
        <w:tc>
          <w:tcPr>
            <w:tcW w:w="1844" w:type="dxa"/>
          </w:tcPr>
          <w:p>
            <w:pPr>
              <w:spacing w:line="360" w:lineRule="auto"/>
              <w:jc w:val="center"/>
              <w:rPr>
                <w:rFonts w:ascii="宋体" w:hAnsi="宋体" w:cs="Arial"/>
                <w:b/>
                <w:sz w:val="24"/>
                <w:szCs w:val="28"/>
              </w:rPr>
            </w:pPr>
          </w:p>
        </w:tc>
        <w:tc>
          <w:tcPr>
            <w:tcW w:w="1765" w:type="dxa"/>
          </w:tcPr>
          <w:p>
            <w:pPr>
              <w:spacing w:line="360" w:lineRule="auto"/>
              <w:jc w:val="center"/>
              <w:rPr>
                <w:rFonts w:ascii="宋体" w:hAnsi="宋体" w:cs="Arial"/>
                <w:b/>
                <w:sz w:val="24"/>
                <w:szCs w:val="28"/>
              </w:rPr>
            </w:pPr>
          </w:p>
        </w:tc>
        <w:tc>
          <w:tcPr>
            <w:tcW w:w="2739" w:type="dxa"/>
          </w:tcPr>
          <w:p>
            <w:pPr>
              <w:spacing w:line="360" w:lineRule="auto"/>
              <w:jc w:val="center"/>
              <w:rPr>
                <w:rFonts w:ascii="宋体" w:hAnsi="宋体" w:cs="Arial"/>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ascii="宋体" w:hAnsi="宋体" w:cs="Arial"/>
                <w:b/>
                <w:sz w:val="24"/>
                <w:szCs w:val="28"/>
              </w:rPr>
            </w:pPr>
          </w:p>
        </w:tc>
        <w:tc>
          <w:tcPr>
            <w:tcW w:w="2509" w:type="dxa"/>
          </w:tcPr>
          <w:p>
            <w:pPr>
              <w:spacing w:line="360" w:lineRule="auto"/>
              <w:jc w:val="center"/>
              <w:rPr>
                <w:rFonts w:ascii="宋体" w:hAnsi="宋体" w:cs="Arial"/>
                <w:b/>
                <w:sz w:val="24"/>
                <w:szCs w:val="28"/>
              </w:rPr>
            </w:pPr>
          </w:p>
        </w:tc>
        <w:tc>
          <w:tcPr>
            <w:tcW w:w="1844" w:type="dxa"/>
          </w:tcPr>
          <w:p>
            <w:pPr>
              <w:spacing w:line="360" w:lineRule="auto"/>
              <w:jc w:val="center"/>
              <w:rPr>
                <w:rFonts w:ascii="宋体" w:hAnsi="宋体" w:cs="Arial"/>
                <w:b/>
                <w:sz w:val="24"/>
                <w:szCs w:val="28"/>
              </w:rPr>
            </w:pPr>
          </w:p>
        </w:tc>
        <w:tc>
          <w:tcPr>
            <w:tcW w:w="1765" w:type="dxa"/>
          </w:tcPr>
          <w:p>
            <w:pPr>
              <w:spacing w:line="360" w:lineRule="auto"/>
              <w:jc w:val="center"/>
              <w:rPr>
                <w:rFonts w:ascii="宋体" w:hAnsi="宋体" w:cs="Arial"/>
                <w:b/>
                <w:sz w:val="24"/>
                <w:szCs w:val="28"/>
              </w:rPr>
            </w:pPr>
          </w:p>
        </w:tc>
        <w:tc>
          <w:tcPr>
            <w:tcW w:w="2739" w:type="dxa"/>
          </w:tcPr>
          <w:p>
            <w:pPr>
              <w:spacing w:line="360" w:lineRule="auto"/>
              <w:jc w:val="center"/>
              <w:rPr>
                <w:rFonts w:ascii="宋体" w:hAnsi="宋体" w:cs="Arial"/>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ascii="宋体" w:hAnsi="宋体" w:cs="Arial"/>
                <w:b/>
                <w:sz w:val="24"/>
                <w:szCs w:val="28"/>
              </w:rPr>
            </w:pPr>
          </w:p>
        </w:tc>
        <w:tc>
          <w:tcPr>
            <w:tcW w:w="2509" w:type="dxa"/>
          </w:tcPr>
          <w:p>
            <w:pPr>
              <w:spacing w:line="360" w:lineRule="auto"/>
              <w:jc w:val="center"/>
              <w:rPr>
                <w:rFonts w:ascii="宋体" w:hAnsi="宋体" w:cs="Arial"/>
                <w:b/>
                <w:sz w:val="24"/>
                <w:szCs w:val="28"/>
              </w:rPr>
            </w:pPr>
          </w:p>
        </w:tc>
        <w:tc>
          <w:tcPr>
            <w:tcW w:w="1844" w:type="dxa"/>
          </w:tcPr>
          <w:p>
            <w:pPr>
              <w:spacing w:line="360" w:lineRule="auto"/>
              <w:jc w:val="center"/>
              <w:rPr>
                <w:rFonts w:ascii="宋体" w:hAnsi="宋体" w:cs="Arial"/>
                <w:b/>
                <w:sz w:val="24"/>
                <w:szCs w:val="28"/>
              </w:rPr>
            </w:pPr>
          </w:p>
        </w:tc>
        <w:tc>
          <w:tcPr>
            <w:tcW w:w="1765" w:type="dxa"/>
          </w:tcPr>
          <w:p>
            <w:pPr>
              <w:spacing w:line="360" w:lineRule="auto"/>
              <w:jc w:val="center"/>
              <w:rPr>
                <w:rFonts w:ascii="宋体" w:hAnsi="宋体" w:cs="Arial"/>
                <w:b/>
                <w:sz w:val="24"/>
                <w:szCs w:val="28"/>
              </w:rPr>
            </w:pPr>
          </w:p>
        </w:tc>
        <w:tc>
          <w:tcPr>
            <w:tcW w:w="2739" w:type="dxa"/>
          </w:tcPr>
          <w:p>
            <w:pPr>
              <w:spacing w:line="360" w:lineRule="auto"/>
              <w:jc w:val="center"/>
              <w:rPr>
                <w:rFonts w:ascii="宋体" w:hAnsi="宋体" w:cs="Arial"/>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ascii="宋体" w:hAnsi="宋体" w:cs="Arial"/>
                <w:b/>
                <w:sz w:val="24"/>
                <w:szCs w:val="28"/>
              </w:rPr>
            </w:pPr>
          </w:p>
        </w:tc>
        <w:tc>
          <w:tcPr>
            <w:tcW w:w="2509" w:type="dxa"/>
          </w:tcPr>
          <w:p>
            <w:pPr>
              <w:spacing w:line="360" w:lineRule="auto"/>
              <w:jc w:val="center"/>
              <w:rPr>
                <w:rFonts w:ascii="宋体" w:hAnsi="宋体" w:cs="Arial"/>
                <w:b/>
                <w:sz w:val="24"/>
                <w:szCs w:val="28"/>
              </w:rPr>
            </w:pPr>
          </w:p>
        </w:tc>
        <w:tc>
          <w:tcPr>
            <w:tcW w:w="1844" w:type="dxa"/>
          </w:tcPr>
          <w:p>
            <w:pPr>
              <w:spacing w:line="360" w:lineRule="auto"/>
              <w:jc w:val="center"/>
              <w:rPr>
                <w:rFonts w:ascii="宋体" w:hAnsi="宋体" w:cs="Arial"/>
                <w:b/>
                <w:sz w:val="24"/>
                <w:szCs w:val="28"/>
              </w:rPr>
            </w:pPr>
          </w:p>
        </w:tc>
        <w:tc>
          <w:tcPr>
            <w:tcW w:w="1765" w:type="dxa"/>
          </w:tcPr>
          <w:p>
            <w:pPr>
              <w:spacing w:line="360" w:lineRule="auto"/>
              <w:jc w:val="center"/>
              <w:rPr>
                <w:rFonts w:ascii="宋体" w:hAnsi="宋体" w:cs="Arial"/>
                <w:b/>
                <w:sz w:val="24"/>
                <w:szCs w:val="28"/>
              </w:rPr>
            </w:pPr>
          </w:p>
        </w:tc>
        <w:tc>
          <w:tcPr>
            <w:tcW w:w="2739" w:type="dxa"/>
          </w:tcPr>
          <w:p>
            <w:pPr>
              <w:spacing w:line="360" w:lineRule="auto"/>
              <w:jc w:val="center"/>
              <w:rPr>
                <w:rFonts w:ascii="宋体" w:hAnsi="宋体" w:cs="Arial"/>
                <w:b/>
                <w:sz w:val="24"/>
                <w:szCs w:val="28"/>
              </w:rPr>
            </w:pPr>
          </w:p>
        </w:tc>
      </w:tr>
    </w:tbl>
    <w:p>
      <w:pPr>
        <w:pStyle w:val="140"/>
        <w:spacing w:line="360" w:lineRule="auto"/>
        <w:rPr>
          <w:rFonts w:ascii="宋体" w:hAnsi="宋体"/>
          <w:szCs w:val="28"/>
        </w:rPr>
      </w:pPr>
      <w:r>
        <w:rPr>
          <w:rFonts w:hint="eastAsia" w:ascii="宋体" w:hAnsi="宋体"/>
          <w:szCs w:val="28"/>
        </w:rPr>
        <w:t>（若无差异，此表留空）</w:t>
      </w:r>
    </w:p>
    <w:p>
      <w:pPr>
        <w:pStyle w:val="4"/>
        <w:numPr>
          <w:ilvl w:val="0"/>
          <w:numId w:val="0"/>
        </w:numPr>
        <w:spacing w:before="156" w:after="156"/>
        <w:jc w:val="center"/>
        <w:rPr>
          <w:rFonts w:hAnsi="宋体" w:cs="Arial"/>
          <w:bCs w:val="0"/>
          <w:sz w:val="24"/>
          <w:szCs w:val="28"/>
        </w:rPr>
      </w:pPr>
      <w:bookmarkStart w:id="176" w:name="_Toc12118378"/>
      <w:r>
        <w:rPr>
          <w:rFonts w:hint="eastAsia" w:hAnsi="宋体" w:cs="Arial"/>
          <w:bCs w:val="0"/>
          <w:sz w:val="24"/>
          <w:szCs w:val="28"/>
        </w:rPr>
        <w:br w:type="page"/>
      </w:r>
      <w:bookmarkStart w:id="177" w:name="_Toc46738161"/>
      <w:bookmarkStart w:id="178" w:name="_Toc46738295"/>
      <w:bookmarkStart w:id="179" w:name="_Toc46738422"/>
      <w:bookmarkStart w:id="180" w:name="_Toc75917312"/>
      <w:bookmarkStart w:id="181" w:name="_Toc347481636"/>
      <w:bookmarkStart w:id="182" w:name="_Toc372145635"/>
      <w:bookmarkStart w:id="183" w:name="_Toc513448418"/>
      <w:bookmarkStart w:id="184" w:name="_Toc3627197"/>
      <w:bookmarkStart w:id="185" w:name="_Toc7016565"/>
      <w:bookmarkStart w:id="186" w:name="_Toc31858"/>
      <w:bookmarkStart w:id="187" w:name="_Toc3598"/>
      <w:r>
        <w:rPr>
          <w:rFonts w:hint="eastAsia" w:hAnsi="宋体" w:cs="Arial"/>
          <w:bCs w:val="0"/>
          <w:sz w:val="24"/>
          <w:szCs w:val="28"/>
        </w:rPr>
        <w:t>附件1-4  实质性响应条款一览表</w:t>
      </w:r>
      <w:bookmarkEnd w:id="176"/>
      <w:bookmarkEnd w:id="177"/>
      <w:bookmarkEnd w:id="178"/>
      <w:bookmarkEnd w:id="179"/>
      <w:bookmarkEnd w:id="180"/>
      <w:bookmarkEnd w:id="181"/>
      <w:bookmarkEnd w:id="182"/>
      <w:bookmarkEnd w:id="183"/>
      <w:bookmarkEnd w:id="184"/>
      <w:bookmarkEnd w:id="185"/>
      <w:bookmarkEnd w:id="186"/>
      <w:bookmarkEnd w:id="187"/>
    </w:p>
    <w:p>
      <w:pPr>
        <w:spacing w:line="360" w:lineRule="auto"/>
        <w:rPr>
          <w:rFonts w:ascii="宋体" w:hAnsi="宋体" w:cs="Arial"/>
          <w:b/>
          <w:sz w:val="24"/>
          <w:szCs w:val="28"/>
        </w:rPr>
      </w:pPr>
    </w:p>
    <w:tbl>
      <w:tblPr>
        <w:tblStyle w:val="2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153"/>
              <w:spacing w:line="360" w:lineRule="auto"/>
              <w:jc w:val="center"/>
              <w:rPr>
                <w:rFonts w:ascii="宋体" w:hAnsi="宋体"/>
                <w:sz w:val="24"/>
              </w:rPr>
            </w:pPr>
            <w:r>
              <w:rPr>
                <w:rFonts w:hint="eastAsia" w:ascii="宋体" w:hAnsi="宋体"/>
                <w:sz w:val="24"/>
              </w:rPr>
              <w:t>序号</w:t>
            </w:r>
          </w:p>
        </w:tc>
        <w:tc>
          <w:tcPr>
            <w:tcW w:w="3807" w:type="dxa"/>
            <w:tcBorders>
              <w:top w:val="single" w:color="auto" w:sz="4" w:space="0"/>
              <w:left w:val="single" w:color="auto" w:sz="4" w:space="0"/>
              <w:bottom w:val="single" w:color="auto" w:sz="4" w:space="0"/>
              <w:right w:val="single" w:color="auto" w:sz="4" w:space="0"/>
            </w:tcBorders>
          </w:tcPr>
          <w:p>
            <w:pPr>
              <w:pStyle w:val="153"/>
              <w:spacing w:line="360" w:lineRule="auto"/>
              <w:jc w:val="center"/>
              <w:rPr>
                <w:rFonts w:ascii="宋体" w:hAnsi="宋体"/>
                <w:sz w:val="24"/>
              </w:rPr>
            </w:pPr>
            <w:r>
              <w:rPr>
                <w:rFonts w:hint="eastAsia" w:ascii="宋体" w:hAnsi="宋体"/>
                <w:sz w:val="24"/>
              </w:rPr>
              <w:t>实质性响应条款</w:t>
            </w:r>
          </w:p>
        </w:tc>
        <w:tc>
          <w:tcPr>
            <w:tcW w:w="2880" w:type="dxa"/>
            <w:tcBorders>
              <w:top w:val="single" w:color="auto" w:sz="4" w:space="0"/>
              <w:left w:val="single" w:color="auto" w:sz="4" w:space="0"/>
              <w:bottom w:val="single" w:color="auto" w:sz="4" w:space="0"/>
              <w:right w:val="single" w:color="auto" w:sz="4" w:space="0"/>
            </w:tcBorders>
          </w:tcPr>
          <w:p>
            <w:pPr>
              <w:pStyle w:val="153"/>
              <w:spacing w:line="360" w:lineRule="auto"/>
              <w:jc w:val="center"/>
              <w:rPr>
                <w:rFonts w:ascii="宋体" w:hAnsi="宋体"/>
                <w:sz w:val="24"/>
              </w:rPr>
            </w:pPr>
            <w:r>
              <w:rPr>
                <w:rFonts w:hint="eastAsia" w:ascii="宋体" w:hAnsi="宋体"/>
                <w:sz w:val="24"/>
              </w:rPr>
              <w:t>报价人响应情况</w:t>
            </w:r>
          </w:p>
        </w:tc>
        <w:tc>
          <w:tcPr>
            <w:tcW w:w="1807" w:type="dxa"/>
            <w:tcBorders>
              <w:top w:val="single" w:color="auto" w:sz="4" w:space="0"/>
              <w:left w:val="single" w:color="auto" w:sz="4" w:space="0"/>
              <w:bottom w:val="single" w:color="auto" w:sz="4" w:space="0"/>
              <w:right w:val="single" w:color="auto" w:sz="4" w:space="0"/>
            </w:tcBorders>
          </w:tcPr>
          <w:p>
            <w:pPr>
              <w:pStyle w:val="153"/>
              <w:spacing w:line="360" w:lineRule="auto"/>
              <w:jc w:val="center"/>
              <w:rPr>
                <w:rFonts w:ascii="宋体" w:hAnsi="宋体"/>
                <w:sz w:val="24"/>
              </w:rPr>
            </w:pPr>
            <w:r>
              <w:rPr>
                <w:rFonts w:hint="eastAsia" w:ascii="宋体" w:hAnsi="宋体"/>
                <w:sz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28" w:type="dxa"/>
            <w:tcBorders>
              <w:top w:val="single" w:color="auto" w:sz="4" w:space="0"/>
              <w:left w:val="single" w:color="auto" w:sz="4" w:space="0"/>
              <w:bottom w:val="single" w:color="auto" w:sz="4" w:space="0"/>
              <w:right w:val="single" w:color="auto" w:sz="4" w:space="0"/>
            </w:tcBorders>
          </w:tcPr>
          <w:p>
            <w:pPr>
              <w:pStyle w:val="153"/>
              <w:spacing w:line="360" w:lineRule="auto"/>
              <w:jc w:val="center"/>
              <w:rPr>
                <w:rFonts w:ascii="宋体" w:hAnsi="宋体"/>
                <w:sz w:val="24"/>
              </w:rPr>
            </w:pPr>
            <w:r>
              <w:rPr>
                <w:rFonts w:hint="eastAsia" w:ascii="宋体" w:hAnsi="宋体"/>
                <w:sz w:val="24"/>
              </w:rPr>
              <w:t>1</w:t>
            </w:r>
          </w:p>
        </w:tc>
        <w:tc>
          <w:tcPr>
            <w:tcW w:w="3807" w:type="dxa"/>
            <w:tcBorders>
              <w:top w:val="single" w:color="auto" w:sz="4" w:space="0"/>
              <w:left w:val="single" w:color="auto" w:sz="4" w:space="0"/>
              <w:bottom w:val="single" w:color="auto" w:sz="4" w:space="0"/>
              <w:right w:val="single" w:color="auto" w:sz="4" w:space="0"/>
            </w:tcBorders>
          </w:tcPr>
          <w:p>
            <w:pPr>
              <w:pStyle w:val="153"/>
              <w:rPr>
                <w:rFonts w:ascii="宋体" w:hAnsi="宋体"/>
                <w:sz w:val="24"/>
              </w:rPr>
            </w:pPr>
            <w:r>
              <w:rPr>
                <w:rFonts w:hint="eastAsia" w:ascii="宋体" w:hAnsi="宋体"/>
                <w:sz w:val="24"/>
              </w:rPr>
              <w:t>★如投标人报价低于最高限价</w:t>
            </w:r>
            <w:r>
              <w:rPr>
                <w:rFonts w:hint="eastAsia" w:ascii="宋体" w:hAnsi="宋体"/>
                <w:sz w:val="24"/>
                <w:lang w:val="en-US" w:eastAsia="zh-CN"/>
              </w:rPr>
              <w:t>6</w:t>
            </w:r>
            <w:r>
              <w:rPr>
                <w:rFonts w:hint="eastAsia" w:ascii="宋体" w:hAnsi="宋体"/>
                <w:sz w:val="24"/>
              </w:rPr>
              <w:t>0%的，必须说明报价理由。</w:t>
            </w:r>
          </w:p>
        </w:tc>
        <w:tc>
          <w:tcPr>
            <w:tcW w:w="2880" w:type="dxa"/>
            <w:tcBorders>
              <w:top w:val="single" w:color="auto" w:sz="4" w:space="0"/>
              <w:left w:val="single" w:color="auto" w:sz="4" w:space="0"/>
              <w:bottom w:val="single" w:color="auto" w:sz="4" w:space="0"/>
              <w:right w:val="single" w:color="auto" w:sz="4" w:space="0"/>
            </w:tcBorders>
          </w:tcPr>
          <w:p>
            <w:pPr>
              <w:pStyle w:val="153"/>
              <w:spacing w:line="360" w:lineRule="auto"/>
              <w:rPr>
                <w:rFonts w:ascii="宋体" w:hAnsi="宋体"/>
                <w:sz w:val="24"/>
              </w:rPr>
            </w:pPr>
            <w:r>
              <w:rPr>
                <w:rFonts w:hint="eastAsia" w:ascii="宋体" w:hAnsi="宋体"/>
                <w:sz w:val="24"/>
              </w:rPr>
              <w:t>理由：</w:t>
            </w:r>
          </w:p>
        </w:tc>
        <w:tc>
          <w:tcPr>
            <w:tcW w:w="1807" w:type="dxa"/>
            <w:tcBorders>
              <w:top w:val="single" w:color="auto" w:sz="4" w:space="0"/>
              <w:left w:val="single" w:color="auto" w:sz="4" w:space="0"/>
              <w:bottom w:val="single" w:color="auto" w:sz="4" w:space="0"/>
              <w:right w:val="single" w:color="auto" w:sz="4" w:space="0"/>
            </w:tcBorders>
          </w:tcPr>
          <w:p>
            <w:pPr>
              <w:pStyle w:val="153"/>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28" w:type="dxa"/>
            <w:tcBorders>
              <w:top w:val="single" w:color="auto" w:sz="4" w:space="0"/>
              <w:left w:val="single" w:color="auto" w:sz="4" w:space="0"/>
              <w:bottom w:val="single" w:color="auto" w:sz="4" w:space="0"/>
              <w:right w:val="single" w:color="auto" w:sz="4" w:space="0"/>
            </w:tcBorders>
          </w:tcPr>
          <w:p>
            <w:pPr>
              <w:pStyle w:val="153"/>
              <w:spacing w:line="360" w:lineRule="auto"/>
              <w:jc w:val="center"/>
              <w:rPr>
                <w:rFonts w:ascii="宋体" w:hAnsi="宋体"/>
                <w:sz w:val="24"/>
              </w:rPr>
            </w:pPr>
            <w:r>
              <w:rPr>
                <w:rFonts w:hint="eastAsia" w:ascii="宋体" w:hAnsi="宋体"/>
                <w:sz w:val="24"/>
              </w:rPr>
              <w:t>2</w:t>
            </w:r>
          </w:p>
        </w:tc>
        <w:tc>
          <w:tcPr>
            <w:tcW w:w="3807" w:type="dxa"/>
            <w:tcBorders>
              <w:top w:val="single" w:color="auto" w:sz="4" w:space="0"/>
              <w:left w:val="single" w:color="auto" w:sz="4" w:space="0"/>
              <w:bottom w:val="single" w:color="auto" w:sz="4" w:space="0"/>
              <w:right w:val="single" w:color="auto" w:sz="4" w:space="0"/>
            </w:tcBorders>
          </w:tcPr>
          <w:p>
            <w:pPr>
              <w:pStyle w:val="153"/>
              <w:rPr>
                <w:rFonts w:ascii="宋体" w:hAnsi="宋体"/>
                <w:sz w:val="24"/>
              </w:rPr>
            </w:pPr>
          </w:p>
        </w:tc>
        <w:tc>
          <w:tcPr>
            <w:tcW w:w="2880" w:type="dxa"/>
            <w:tcBorders>
              <w:top w:val="single" w:color="auto" w:sz="4" w:space="0"/>
              <w:left w:val="single" w:color="auto" w:sz="4" w:space="0"/>
              <w:bottom w:val="single" w:color="auto" w:sz="4" w:space="0"/>
              <w:right w:val="single" w:color="auto" w:sz="4" w:space="0"/>
            </w:tcBorders>
          </w:tcPr>
          <w:p>
            <w:pPr>
              <w:pStyle w:val="153"/>
              <w:spacing w:line="360" w:lineRule="auto"/>
              <w:rPr>
                <w:rFonts w:ascii="宋体" w:hAnsi="宋体"/>
                <w:sz w:val="24"/>
              </w:rPr>
            </w:pPr>
          </w:p>
        </w:tc>
        <w:tc>
          <w:tcPr>
            <w:tcW w:w="1807" w:type="dxa"/>
            <w:tcBorders>
              <w:top w:val="single" w:color="auto" w:sz="4" w:space="0"/>
              <w:left w:val="single" w:color="auto" w:sz="4" w:space="0"/>
              <w:bottom w:val="single" w:color="auto" w:sz="4" w:space="0"/>
              <w:right w:val="single" w:color="auto" w:sz="4" w:space="0"/>
            </w:tcBorders>
          </w:tcPr>
          <w:p>
            <w:pPr>
              <w:pStyle w:val="153"/>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153"/>
              <w:spacing w:line="360" w:lineRule="auto"/>
              <w:jc w:val="center"/>
              <w:rPr>
                <w:rFonts w:ascii="宋体" w:hAnsi="宋体"/>
                <w:sz w:val="24"/>
              </w:rPr>
            </w:pPr>
            <w:r>
              <w:rPr>
                <w:rFonts w:ascii="宋体" w:hAnsi="宋体"/>
                <w:sz w:val="24"/>
              </w:rPr>
              <w:t>3</w:t>
            </w:r>
          </w:p>
        </w:tc>
        <w:tc>
          <w:tcPr>
            <w:tcW w:w="3807" w:type="dxa"/>
            <w:tcBorders>
              <w:top w:val="single" w:color="auto" w:sz="4" w:space="0"/>
              <w:left w:val="single" w:color="auto" w:sz="4" w:space="0"/>
              <w:bottom w:val="single" w:color="auto" w:sz="4" w:space="0"/>
              <w:right w:val="single" w:color="auto" w:sz="4" w:space="0"/>
            </w:tcBorders>
          </w:tcPr>
          <w:p>
            <w:pPr>
              <w:pStyle w:val="153"/>
              <w:rPr>
                <w:rFonts w:ascii="宋体" w:hAnsi="宋体"/>
                <w:sz w:val="24"/>
              </w:rPr>
            </w:pPr>
          </w:p>
        </w:tc>
        <w:tc>
          <w:tcPr>
            <w:tcW w:w="2880" w:type="dxa"/>
            <w:tcBorders>
              <w:top w:val="single" w:color="auto" w:sz="4" w:space="0"/>
              <w:left w:val="single" w:color="auto" w:sz="4" w:space="0"/>
              <w:bottom w:val="single" w:color="auto" w:sz="4" w:space="0"/>
              <w:right w:val="single" w:color="auto" w:sz="4" w:space="0"/>
            </w:tcBorders>
          </w:tcPr>
          <w:p>
            <w:pPr>
              <w:pStyle w:val="153"/>
              <w:spacing w:line="360" w:lineRule="auto"/>
              <w:rPr>
                <w:rFonts w:ascii="宋体" w:hAnsi="宋体"/>
                <w:sz w:val="24"/>
              </w:rPr>
            </w:pPr>
          </w:p>
        </w:tc>
        <w:tc>
          <w:tcPr>
            <w:tcW w:w="1807" w:type="dxa"/>
            <w:tcBorders>
              <w:top w:val="single" w:color="auto" w:sz="4" w:space="0"/>
              <w:left w:val="single" w:color="auto" w:sz="4" w:space="0"/>
              <w:bottom w:val="single" w:color="auto" w:sz="4" w:space="0"/>
              <w:right w:val="single" w:color="auto" w:sz="4" w:space="0"/>
            </w:tcBorders>
          </w:tcPr>
          <w:p>
            <w:pPr>
              <w:pStyle w:val="153"/>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153"/>
              <w:spacing w:line="360" w:lineRule="auto"/>
              <w:jc w:val="center"/>
              <w:rPr>
                <w:rFonts w:ascii="宋体" w:hAnsi="宋体"/>
                <w:sz w:val="24"/>
              </w:rPr>
            </w:pPr>
            <w:r>
              <w:rPr>
                <w:rFonts w:hint="eastAsia" w:ascii="宋体" w:hAnsi="宋体"/>
                <w:sz w:val="24"/>
              </w:rPr>
              <w:t>4</w:t>
            </w:r>
          </w:p>
        </w:tc>
        <w:tc>
          <w:tcPr>
            <w:tcW w:w="3807" w:type="dxa"/>
            <w:tcBorders>
              <w:top w:val="single" w:color="auto" w:sz="4" w:space="0"/>
              <w:left w:val="single" w:color="auto" w:sz="4" w:space="0"/>
              <w:bottom w:val="single" w:color="auto" w:sz="4" w:space="0"/>
              <w:right w:val="single" w:color="auto" w:sz="4" w:space="0"/>
            </w:tcBorders>
          </w:tcPr>
          <w:p>
            <w:pPr>
              <w:pStyle w:val="153"/>
              <w:rPr>
                <w:rFonts w:ascii="宋体" w:hAnsi="宋体"/>
                <w:sz w:val="24"/>
              </w:rPr>
            </w:pPr>
          </w:p>
        </w:tc>
        <w:tc>
          <w:tcPr>
            <w:tcW w:w="2880" w:type="dxa"/>
            <w:tcBorders>
              <w:top w:val="single" w:color="auto" w:sz="4" w:space="0"/>
              <w:left w:val="single" w:color="auto" w:sz="4" w:space="0"/>
              <w:bottom w:val="single" w:color="auto" w:sz="4" w:space="0"/>
              <w:right w:val="single" w:color="auto" w:sz="4" w:space="0"/>
            </w:tcBorders>
          </w:tcPr>
          <w:p>
            <w:pPr>
              <w:pStyle w:val="153"/>
              <w:spacing w:line="360" w:lineRule="auto"/>
              <w:rPr>
                <w:rFonts w:ascii="宋体" w:hAnsi="宋体"/>
                <w:sz w:val="24"/>
              </w:rPr>
            </w:pPr>
          </w:p>
        </w:tc>
        <w:tc>
          <w:tcPr>
            <w:tcW w:w="1807" w:type="dxa"/>
            <w:tcBorders>
              <w:top w:val="single" w:color="auto" w:sz="4" w:space="0"/>
              <w:left w:val="single" w:color="auto" w:sz="4" w:space="0"/>
              <w:bottom w:val="single" w:color="auto" w:sz="4" w:space="0"/>
              <w:right w:val="single" w:color="auto" w:sz="4" w:space="0"/>
            </w:tcBorders>
          </w:tcPr>
          <w:p>
            <w:pPr>
              <w:pStyle w:val="153"/>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153"/>
              <w:spacing w:line="360" w:lineRule="auto"/>
              <w:jc w:val="center"/>
              <w:rPr>
                <w:rFonts w:ascii="宋体" w:hAnsi="宋体"/>
                <w:sz w:val="24"/>
              </w:rPr>
            </w:pPr>
            <w:r>
              <w:rPr>
                <w:rFonts w:hint="eastAsia" w:ascii="宋体" w:hAnsi="宋体"/>
                <w:sz w:val="24"/>
              </w:rPr>
              <w:t>5</w:t>
            </w:r>
          </w:p>
        </w:tc>
        <w:tc>
          <w:tcPr>
            <w:tcW w:w="3807" w:type="dxa"/>
            <w:tcBorders>
              <w:top w:val="single" w:color="auto" w:sz="4" w:space="0"/>
              <w:left w:val="single" w:color="auto" w:sz="4" w:space="0"/>
              <w:bottom w:val="single" w:color="auto" w:sz="4" w:space="0"/>
              <w:right w:val="single" w:color="auto" w:sz="4" w:space="0"/>
            </w:tcBorders>
          </w:tcPr>
          <w:p>
            <w:pPr>
              <w:pStyle w:val="153"/>
              <w:rPr>
                <w:rFonts w:ascii="宋体" w:hAnsi="宋体"/>
                <w:sz w:val="24"/>
              </w:rPr>
            </w:pPr>
          </w:p>
        </w:tc>
        <w:tc>
          <w:tcPr>
            <w:tcW w:w="2880" w:type="dxa"/>
            <w:tcBorders>
              <w:top w:val="single" w:color="auto" w:sz="4" w:space="0"/>
              <w:left w:val="single" w:color="auto" w:sz="4" w:space="0"/>
              <w:bottom w:val="single" w:color="auto" w:sz="4" w:space="0"/>
              <w:right w:val="single" w:color="auto" w:sz="4" w:space="0"/>
            </w:tcBorders>
          </w:tcPr>
          <w:p>
            <w:pPr>
              <w:pStyle w:val="153"/>
              <w:spacing w:line="360" w:lineRule="auto"/>
              <w:rPr>
                <w:rFonts w:ascii="宋体" w:hAnsi="宋体"/>
                <w:sz w:val="24"/>
              </w:rPr>
            </w:pPr>
          </w:p>
        </w:tc>
        <w:tc>
          <w:tcPr>
            <w:tcW w:w="1807" w:type="dxa"/>
            <w:tcBorders>
              <w:top w:val="single" w:color="auto" w:sz="4" w:space="0"/>
              <w:left w:val="single" w:color="auto" w:sz="4" w:space="0"/>
              <w:bottom w:val="single" w:color="auto" w:sz="4" w:space="0"/>
              <w:right w:val="single" w:color="auto" w:sz="4" w:space="0"/>
            </w:tcBorders>
          </w:tcPr>
          <w:p>
            <w:pPr>
              <w:pStyle w:val="153"/>
              <w:spacing w:line="360" w:lineRule="auto"/>
              <w:jc w:val="center"/>
              <w:rPr>
                <w:rFonts w:ascii="宋体" w:hAnsi="宋体"/>
                <w:sz w:val="24"/>
              </w:rPr>
            </w:pPr>
          </w:p>
        </w:tc>
      </w:tr>
    </w:tbl>
    <w:p>
      <w:pPr>
        <w:pStyle w:val="153"/>
        <w:spacing w:line="360" w:lineRule="auto"/>
        <w:rPr>
          <w:rFonts w:ascii="宋体" w:hAnsi="宋体"/>
          <w:sz w:val="24"/>
        </w:rPr>
      </w:pPr>
      <w:r>
        <w:rPr>
          <w:rFonts w:hint="eastAsia" w:ascii="宋体" w:hAnsi="宋体"/>
          <w:sz w:val="24"/>
        </w:rPr>
        <w:t>说明：本表所列条款必须一一予以响应，“报价人响应情况”一栏应</w:t>
      </w:r>
      <w:r>
        <w:rPr>
          <w:rFonts w:hint="eastAsia" w:ascii="宋体" w:hAnsi="宋体"/>
          <w:b/>
          <w:sz w:val="24"/>
        </w:rPr>
        <w:t>填写具体的响应内容，有差异的</w:t>
      </w:r>
      <w:r>
        <w:rPr>
          <w:rFonts w:hint="eastAsia" w:ascii="宋体" w:hAnsi="宋体"/>
          <w:sz w:val="24"/>
        </w:rPr>
        <w:t>要具体说明。</w:t>
      </w:r>
    </w:p>
    <w:p>
      <w:pPr>
        <w:pStyle w:val="140"/>
        <w:spacing w:line="360" w:lineRule="auto"/>
        <w:rPr>
          <w:rFonts w:ascii="新宋体" w:hAnsi="新宋体" w:eastAsia="新宋体"/>
          <w:bCs w:val="0"/>
          <w:sz w:val="28"/>
          <w:szCs w:val="28"/>
        </w:rPr>
      </w:pPr>
      <w:r>
        <w:rPr>
          <w:rFonts w:hint="eastAsia" w:ascii="宋体" w:hAnsi="宋体"/>
        </w:rPr>
        <w:t>请报价人认真填写本表内容，如填写错误将可能导致报价无效。</w:t>
      </w:r>
    </w:p>
    <w:p>
      <w:pPr>
        <w:spacing w:line="360" w:lineRule="auto"/>
        <w:rPr>
          <w:rFonts w:ascii="宋体" w:hAnsi="宋体" w:cs="Arial"/>
          <w:b/>
          <w:sz w:val="24"/>
          <w:szCs w:val="28"/>
        </w:rPr>
      </w:pPr>
    </w:p>
    <w:p>
      <w:pPr>
        <w:spacing w:line="360" w:lineRule="auto"/>
        <w:rPr>
          <w:rFonts w:ascii="宋体" w:hAnsi="宋体" w:cs="Arial"/>
          <w:sz w:val="24"/>
          <w:szCs w:val="28"/>
        </w:rPr>
      </w:pPr>
    </w:p>
    <w:p>
      <w:pPr>
        <w:pStyle w:val="4"/>
        <w:numPr>
          <w:ilvl w:val="0"/>
          <w:numId w:val="0"/>
        </w:numPr>
        <w:spacing w:before="156" w:after="156"/>
        <w:jc w:val="center"/>
        <w:rPr>
          <w:rFonts w:hAnsi="宋体" w:cs="Arial"/>
          <w:bCs w:val="0"/>
          <w:sz w:val="24"/>
          <w:szCs w:val="28"/>
        </w:rPr>
      </w:pPr>
      <w:r>
        <w:rPr>
          <w:rFonts w:hint="eastAsia" w:hAnsi="宋体"/>
          <w:sz w:val="24"/>
          <w:szCs w:val="28"/>
        </w:rPr>
        <w:br w:type="page"/>
      </w:r>
      <w:bookmarkStart w:id="188" w:name="_Toc536777264"/>
      <w:bookmarkStart w:id="189" w:name="_Toc12118379"/>
      <w:bookmarkStart w:id="190" w:name="_Toc46738162"/>
      <w:bookmarkStart w:id="191" w:name="_Toc46738296"/>
      <w:bookmarkStart w:id="192" w:name="_Toc46738423"/>
      <w:bookmarkStart w:id="193" w:name="_Toc75917313"/>
      <w:bookmarkStart w:id="194" w:name="_Toc347481637"/>
      <w:bookmarkStart w:id="195" w:name="_Toc372145636"/>
      <w:bookmarkStart w:id="196" w:name="_Toc513448419"/>
      <w:bookmarkStart w:id="197" w:name="_Toc3627198"/>
      <w:bookmarkStart w:id="198" w:name="_Toc7016566"/>
      <w:bookmarkStart w:id="199" w:name="_Toc10802"/>
      <w:bookmarkStart w:id="200" w:name="_Toc12175"/>
      <w:r>
        <w:rPr>
          <w:rFonts w:hint="eastAsia" w:hAnsi="宋体" w:cs="Arial"/>
          <w:bCs w:val="0"/>
          <w:sz w:val="24"/>
          <w:szCs w:val="28"/>
        </w:rPr>
        <w:t>附件1-5  投标人基本情况表</w:t>
      </w:r>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11"/>
        <w:rPr>
          <w:rFonts w:ascii="宋体" w:hAnsi="宋体"/>
          <w:szCs w:val="28"/>
        </w:rPr>
      </w:pPr>
    </w:p>
    <w:p>
      <w:pPr>
        <w:spacing w:line="360" w:lineRule="auto"/>
        <w:rPr>
          <w:rFonts w:ascii="宋体" w:hAnsi="宋体" w:cs="Arial"/>
          <w:b/>
          <w:sz w:val="24"/>
          <w:szCs w:val="28"/>
        </w:rPr>
      </w:pPr>
      <w:r>
        <w:rPr>
          <w:rFonts w:hint="eastAsia" w:ascii="宋体" w:hAnsi="宋体" w:cs="Arial"/>
          <w:b/>
          <w:sz w:val="24"/>
          <w:szCs w:val="28"/>
        </w:rPr>
        <w:t>一、公司基本情况</w:t>
      </w:r>
    </w:p>
    <w:p>
      <w:pPr>
        <w:spacing w:line="360" w:lineRule="auto"/>
        <w:rPr>
          <w:rFonts w:ascii="宋体" w:hAnsi="宋体" w:cs="Arial"/>
          <w:sz w:val="24"/>
          <w:szCs w:val="28"/>
        </w:rPr>
      </w:pPr>
      <w:r>
        <w:rPr>
          <w:rFonts w:hint="eastAsia" w:ascii="宋体" w:hAnsi="宋体" w:cs="Arial"/>
          <w:sz w:val="24"/>
          <w:szCs w:val="28"/>
        </w:rPr>
        <w:t>1、公司名称：</w:t>
      </w:r>
      <w:r>
        <w:rPr>
          <w:rFonts w:hint="eastAsia" w:ascii="宋体" w:hAnsi="宋体" w:cs="Arial"/>
          <w:sz w:val="24"/>
          <w:szCs w:val="28"/>
          <w:u w:val="single"/>
        </w:rPr>
        <w:t xml:space="preserve">      </w:t>
      </w:r>
      <w:bookmarkStart w:id="201" w:name="_Hlk3625453"/>
      <w:r>
        <w:rPr>
          <w:rFonts w:hint="eastAsia" w:ascii="宋体" w:hAnsi="宋体" w:cs="Arial"/>
          <w:sz w:val="24"/>
          <w:szCs w:val="28"/>
          <w:u w:val="single"/>
        </w:rPr>
        <w:t xml:space="preserve">           </w:t>
      </w:r>
      <w:r>
        <w:rPr>
          <w:rFonts w:ascii="宋体" w:hAnsi="宋体" w:cs="Arial"/>
          <w:sz w:val="24"/>
          <w:szCs w:val="28"/>
          <w:u w:val="single"/>
        </w:rPr>
        <w:t xml:space="preserve">  </w:t>
      </w:r>
      <w:r>
        <w:rPr>
          <w:rFonts w:hint="eastAsia" w:ascii="宋体" w:hAnsi="宋体" w:cs="Arial"/>
          <w:sz w:val="24"/>
          <w:szCs w:val="28"/>
          <w:u w:val="single"/>
        </w:rPr>
        <w:t xml:space="preserve">  </w:t>
      </w:r>
      <w:bookmarkEnd w:id="201"/>
      <w:r>
        <w:rPr>
          <w:rFonts w:ascii="宋体" w:hAnsi="宋体" w:cs="Arial"/>
          <w:sz w:val="24"/>
          <w:szCs w:val="28"/>
          <w:u w:val="single"/>
        </w:rPr>
        <w:t xml:space="preserve">   </w:t>
      </w:r>
      <w:r>
        <w:rPr>
          <w:rFonts w:hint="eastAsia" w:ascii="宋体" w:hAnsi="宋体" w:cs="Arial"/>
          <w:sz w:val="24"/>
          <w:szCs w:val="28"/>
          <w:u w:val="single"/>
        </w:rPr>
        <w:t xml:space="preserve"> </w:t>
      </w:r>
      <w:r>
        <w:rPr>
          <w:rFonts w:hint="eastAsia" w:ascii="宋体" w:hAnsi="宋体" w:cs="Arial"/>
          <w:sz w:val="24"/>
          <w:szCs w:val="28"/>
        </w:rPr>
        <w:t xml:space="preserve">  电话号码：</w:t>
      </w:r>
      <w:r>
        <w:rPr>
          <w:rFonts w:hint="eastAsia" w:ascii="宋体" w:hAnsi="宋体" w:cs="Arial"/>
          <w:sz w:val="24"/>
          <w:szCs w:val="28"/>
          <w:u w:val="single"/>
        </w:rPr>
        <w:t xml:space="preserve">                    </w:t>
      </w:r>
      <w:r>
        <w:rPr>
          <w:rFonts w:hint="eastAsia" w:ascii="宋体" w:hAnsi="宋体" w:cs="Arial"/>
          <w:sz w:val="24"/>
          <w:szCs w:val="28"/>
        </w:rPr>
        <w:t xml:space="preserve">  </w:t>
      </w:r>
    </w:p>
    <w:p>
      <w:pPr>
        <w:spacing w:line="360" w:lineRule="auto"/>
        <w:rPr>
          <w:rFonts w:ascii="宋体" w:hAnsi="宋体" w:cs="Arial"/>
          <w:sz w:val="24"/>
          <w:szCs w:val="28"/>
        </w:rPr>
      </w:pPr>
      <w:r>
        <w:rPr>
          <w:rFonts w:hint="eastAsia" w:ascii="宋体" w:hAnsi="宋体" w:cs="Arial"/>
          <w:sz w:val="24"/>
          <w:szCs w:val="28"/>
        </w:rPr>
        <w:t>2、地    址：</w:t>
      </w:r>
      <w:r>
        <w:rPr>
          <w:rFonts w:hint="eastAsia" w:ascii="宋体" w:hAnsi="宋体" w:cs="Arial"/>
          <w:sz w:val="24"/>
          <w:szCs w:val="28"/>
          <w:u w:val="single"/>
        </w:rPr>
        <w:t xml:space="preserve">                 </w:t>
      </w:r>
      <w:r>
        <w:rPr>
          <w:rFonts w:ascii="宋体" w:hAnsi="宋体" w:cs="Arial"/>
          <w:sz w:val="24"/>
          <w:szCs w:val="28"/>
          <w:u w:val="single"/>
        </w:rPr>
        <w:t xml:space="preserve">   </w:t>
      </w:r>
      <w:r>
        <w:rPr>
          <w:rFonts w:hint="eastAsia" w:ascii="宋体" w:hAnsi="宋体" w:cs="Arial"/>
          <w:sz w:val="24"/>
          <w:szCs w:val="28"/>
          <w:u w:val="single"/>
        </w:rPr>
        <w:t xml:space="preserve">  </w:t>
      </w:r>
      <w:r>
        <w:rPr>
          <w:rFonts w:ascii="宋体" w:hAnsi="宋体" w:cs="Arial"/>
          <w:sz w:val="24"/>
          <w:szCs w:val="28"/>
          <w:u w:val="single"/>
        </w:rPr>
        <w:t xml:space="preserve">  </w:t>
      </w:r>
      <w:r>
        <w:rPr>
          <w:rFonts w:hint="eastAsia" w:ascii="宋体" w:hAnsi="宋体" w:cs="Arial"/>
          <w:sz w:val="24"/>
          <w:szCs w:val="28"/>
          <w:u w:val="single"/>
        </w:rPr>
        <w:t xml:space="preserve"> </w:t>
      </w:r>
      <w:r>
        <w:rPr>
          <w:rFonts w:hint="eastAsia" w:ascii="宋体" w:hAnsi="宋体" w:cs="Arial"/>
          <w:sz w:val="24"/>
          <w:szCs w:val="28"/>
        </w:rPr>
        <w:t xml:space="preserve">  传    真：</w:t>
      </w:r>
      <w:r>
        <w:rPr>
          <w:rFonts w:hint="eastAsia" w:ascii="宋体" w:hAnsi="宋体" w:cs="Arial"/>
          <w:sz w:val="24"/>
          <w:szCs w:val="28"/>
          <w:u w:val="single"/>
        </w:rPr>
        <w:t xml:space="preserve">                    </w:t>
      </w:r>
      <w:r>
        <w:rPr>
          <w:rFonts w:hint="eastAsia" w:ascii="宋体" w:hAnsi="宋体" w:cs="Arial"/>
          <w:sz w:val="24"/>
          <w:szCs w:val="28"/>
        </w:rPr>
        <w:t xml:space="preserve">  </w:t>
      </w:r>
    </w:p>
    <w:p>
      <w:pPr>
        <w:spacing w:line="360" w:lineRule="auto"/>
        <w:rPr>
          <w:rFonts w:ascii="宋体" w:hAnsi="宋体" w:cs="Arial"/>
          <w:sz w:val="24"/>
          <w:szCs w:val="28"/>
          <w:u w:val="single"/>
        </w:rPr>
      </w:pPr>
      <w:r>
        <w:rPr>
          <w:rFonts w:hint="eastAsia" w:ascii="宋体" w:hAnsi="宋体" w:cs="Arial"/>
          <w:sz w:val="24"/>
          <w:szCs w:val="28"/>
        </w:rPr>
        <w:t>3、注册资金：</w:t>
      </w:r>
      <w:r>
        <w:rPr>
          <w:rFonts w:hint="eastAsia" w:ascii="宋体" w:hAnsi="宋体" w:cs="Arial"/>
          <w:sz w:val="24"/>
          <w:szCs w:val="28"/>
          <w:u w:val="single"/>
        </w:rPr>
        <w:t xml:space="preserve">                  </w:t>
      </w:r>
      <w:r>
        <w:rPr>
          <w:rFonts w:ascii="宋体" w:hAnsi="宋体" w:cs="Arial"/>
          <w:sz w:val="24"/>
          <w:szCs w:val="28"/>
          <w:u w:val="single"/>
        </w:rPr>
        <w:t xml:space="preserve">     </w:t>
      </w:r>
      <w:r>
        <w:rPr>
          <w:rFonts w:hint="eastAsia" w:ascii="宋体" w:hAnsi="宋体" w:cs="Arial"/>
          <w:sz w:val="24"/>
          <w:szCs w:val="28"/>
          <w:u w:val="single"/>
        </w:rPr>
        <w:t xml:space="preserve">  </w:t>
      </w:r>
      <w:r>
        <w:rPr>
          <w:rFonts w:hint="eastAsia" w:ascii="宋体" w:hAnsi="宋体" w:cs="Arial"/>
          <w:sz w:val="24"/>
          <w:szCs w:val="28"/>
        </w:rPr>
        <w:t xml:space="preserve">  经济性质：</w:t>
      </w:r>
      <w:r>
        <w:rPr>
          <w:rFonts w:hint="eastAsia" w:ascii="宋体" w:hAnsi="宋体" w:cs="Arial"/>
          <w:sz w:val="24"/>
          <w:szCs w:val="28"/>
          <w:u w:val="single"/>
        </w:rPr>
        <w:t xml:space="preserve">                    </w:t>
      </w:r>
      <w:r>
        <w:rPr>
          <w:rFonts w:hint="eastAsia" w:ascii="宋体" w:hAnsi="宋体" w:cs="Arial"/>
          <w:sz w:val="24"/>
          <w:szCs w:val="28"/>
        </w:rPr>
        <w:t xml:space="preserve">  </w:t>
      </w:r>
    </w:p>
    <w:p>
      <w:pPr>
        <w:spacing w:line="360" w:lineRule="auto"/>
        <w:rPr>
          <w:rFonts w:ascii="宋体" w:hAnsi="宋体" w:cs="Arial"/>
          <w:sz w:val="24"/>
          <w:szCs w:val="28"/>
        </w:rPr>
      </w:pPr>
      <w:r>
        <w:rPr>
          <w:rFonts w:hint="eastAsia" w:ascii="宋体" w:hAnsi="宋体" w:cs="Arial"/>
          <w:sz w:val="24"/>
          <w:szCs w:val="28"/>
        </w:rPr>
        <w:t xml:space="preserve">4、公司开户银行名称及账号：     </w:t>
      </w:r>
    </w:p>
    <w:p>
      <w:pPr>
        <w:spacing w:line="360" w:lineRule="auto"/>
        <w:ind w:left="360"/>
        <w:rPr>
          <w:rFonts w:ascii="宋体" w:hAnsi="宋体" w:cs="Arial"/>
          <w:sz w:val="24"/>
          <w:szCs w:val="28"/>
          <w:u w:val="single"/>
        </w:rPr>
      </w:pPr>
      <w:r>
        <w:rPr>
          <w:rFonts w:hint="eastAsia" w:ascii="宋体" w:hAnsi="宋体" w:cs="Arial"/>
          <w:sz w:val="24"/>
          <w:szCs w:val="28"/>
          <w:u w:val="single"/>
        </w:rPr>
        <w:t xml:space="preserve">                                     </w:t>
      </w:r>
      <w:r>
        <w:rPr>
          <w:rFonts w:hint="eastAsia" w:ascii="宋体" w:hAnsi="宋体" w:cs="Arial"/>
          <w:sz w:val="24"/>
          <w:szCs w:val="28"/>
        </w:rPr>
        <w:t xml:space="preserve">  </w:t>
      </w:r>
    </w:p>
    <w:p>
      <w:pPr>
        <w:spacing w:line="360" w:lineRule="auto"/>
        <w:rPr>
          <w:rFonts w:ascii="宋体" w:hAnsi="宋体" w:cs="Arial"/>
          <w:sz w:val="24"/>
          <w:szCs w:val="28"/>
        </w:rPr>
      </w:pPr>
      <w:r>
        <w:rPr>
          <w:rFonts w:hint="eastAsia" w:ascii="宋体" w:hAnsi="宋体" w:cs="Arial"/>
          <w:sz w:val="24"/>
          <w:szCs w:val="28"/>
        </w:rPr>
        <w:t xml:space="preserve">5、营业注册执照号：   </w:t>
      </w:r>
    </w:p>
    <w:p>
      <w:pPr>
        <w:spacing w:line="360" w:lineRule="auto"/>
        <w:rPr>
          <w:rFonts w:ascii="宋体" w:hAnsi="宋体" w:cs="Arial"/>
          <w:sz w:val="24"/>
          <w:szCs w:val="28"/>
        </w:rPr>
      </w:pPr>
      <w:r>
        <w:rPr>
          <w:rFonts w:hint="eastAsia" w:ascii="宋体" w:hAnsi="宋体" w:cs="Arial"/>
          <w:sz w:val="24"/>
          <w:szCs w:val="28"/>
        </w:rPr>
        <w:t>6、公司简介</w:t>
      </w:r>
    </w:p>
    <w:p>
      <w:pPr>
        <w:spacing w:line="360" w:lineRule="auto"/>
        <w:ind w:left="360"/>
        <w:rPr>
          <w:rFonts w:ascii="宋体" w:hAnsi="宋体" w:cs="Arial"/>
          <w:sz w:val="24"/>
          <w:szCs w:val="28"/>
        </w:rPr>
      </w:pPr>
      <w:r>
        <w:rPr>
          <w:rFonts w:hint="eastAsia" w:ascii="宋体" w:hAnsi="宋体" w:cs="Arial"/>
          <w:sz w:val="24"/>
          <w:szCs w:val="28"/>
        </w:rPr>
        <w:t>（自行描述）</w:t>
      </w:r>
    </w:p>
    <w:p>
      <w:pPr>
        <w:spacing w:line="360" w:lineRule="auto"/>
        <w:ind w:left="360"/>
        <w:rPr>
          <w:rFonts w:ascii="宋体" w:hAnsi="宋体" w:cs="Arial"/>
          <w:sz w:val="24"/>
          <w:szCs w:val="28"/>
        </w:rPr>
      </w:pPr>
    </w:p>
    <w:p>
      <w:pPr>
        <w:spacing w:line="360" w:lineRule="auto"/>
        <w:rPr>
          <w:rFonts w:ascii="宋体" w:hAnsi="宋体" w:cs="Arial"/>
          <w:b/>
          <w:bCs/>
          <w:sz w:val="24"/>
          <w:szCs w:val="28"/>
        </w:rPr>
      </w:pPr>
      <w:r>
        <w:rPr>
          <w:rFonts w:hint="eastAsia" w:ascii="宋体" w:hAnsi="宋体" w:cs="Arial"/>
          <w:sz w:val="24"/>
          <w:szCs w:val="28"/>
        </w:rPr>
        <w:t>7、公司财务情况：</w:t>
      </w:r>
    </w:p>
    <w:p>
      <w:pPr>
        <w:spacing w:line="360" w:lineRule="auto"/>
        <w:ind w:firstLine="480" w:firstLineChars="200"/>
        <w:rPr>
          <w:rFonts w:ascii="宋体" w:hAnsi="宋体" w:cs="Arial"/>
          <w:sz w:val="24"/>
          <w:szCs w:val="28"/>
        </w:rPr>
      </w:pPr>
      <w:r>
        <w:rPr>
          <w:rFonts w:hint="eastAsia" w:ascii="宋体" w:hAnsi="宋体" w:cs="Arial"/>
          <w:sz w:val="24"/>
          <w:szCs w:val="28"/>
        </w:rPr>
        <w:t>投标人需提供会计师事务所出具的201</w:t>
      </w:r>
      <w:r>
        <w:rPr>
          <w:rFonts w:hint="eastAsia" w:ascii="宋体" w:hAnsi="宋体" w:cs="Arial"/>
          <w:sz w:val="24"/>
          <w:szCs w:val="28"/>
          <w:lang w:val="en-US" w:eastAsia="zh-CN"/>
        </w:rPr>
        <w:t>8</w:t>
      </w:r>
      <w:r>
        <w:rPr>
          <w:rFonts w:hint="eastAsia" w:ascii="宋体" w:hAnsi="宋体" w:cs="Arial"/>
          <w:sz w:val="24"/>
          <w:szCs w:val="28"/>
        </w:rPr>
        <w:t>年度财务审计报告并加盖单位公章；如投标人无法提供201</w:t>
      </w:r>
      <w:r>
        <w:rPr>
          <w:rFonts w:hint="eastAsia" w:ascii="宋体" w:hAnsi="宋体" w:cs="Arial"/>
          <w:sz w:val="24"/>
          <w:szCs w:val="28"/>
          <w:lang w:val="en-US" w:eastAsia="zh-CN"/>
        </w:rPr>
        <w:t>8</w:t>
      </w:r>
      <w:r>
        <w:rPr>
          <w:rFonts w:hint="eastAsia" w:ascii="宋体" w:hAnsi="宋体" w:cs="Arial"/>
          <w:sz w:val="24"/>
          <w:szCs w:val="28"/>
        </w:rPr>
        <w:t>年度审计报告，则需提供银行出具的资信证明。</w:t>
      </w:r>
    </w:p>
    <w:p>
      <w:pPr>
        <w:spacing w:line="360" w:lineRule="auto"/>
        <w:rPr>
          <w:rFonts w:ascii="宋体" w:hAnsi="宋体" w:cs="Arial"/>
          <w:sz w:val="24"/>
          <w:szCs w:val="28"/>
        </w:rPr>
      </w:pPr>
    </w:p>
    <w:p>
      <w:pPr>
        <w:spacing w:line="360" w:lineRule="auto"/>
        <w:rPr>
          <w:rFonts w:ascii="新宋体" w:hAnsi="新宋体" w:eastAsia="新宋体" w:cs="Arial"/>
          <w:b/>
          <w:sz w:val="24"/>
          <w:szCs w:val="28"/>
        </w:rPr>
      </w:pPr>
      <w:r>
        <w:rPr>
          <w:rFonts w:hint="eastAsia" w:ascii="新宋体" w:hAnsi="新宋体" w:eastAsia="新宋体" w:cs="Arial"/>
          <w:b/>
          <w:sz w:val="24"/>
          <w:szCs w:val="28"/>
        </w:rPr>
        <w:t>二</w:t>
      </w:r>
      <w:r>
        <w:rPr>
          <w:rFonts w:ascii="新宋体" w:hAnsi="新宋体" w:eastAsia="新宋体" w:cs="Arial"/>
          <w:b/>
          <w:sz w:val="24"/>
          <w:szCs w:val="28"/>
        </w:rPr>
        <w:t>、</w:t>
      </w:r>
      <w:r>
        <w:rPr>
          <w:rFonts w:hint="eastAsia" w:ascii="新宋体" w:hAnsi="新宋体" w:eastAsia="新宋体" w:cs="Arial"/>
          <w:b/>
          <w:sz w:val="24"/>
          <w:szCs w:val="28"/>
        </w:rPr>
        <w:t>报价人获得</w:t>
      </w:r>
      <w:r>
        <w:rPr>
          <w:rFonts w:hint="eastAsia" w:ascii="新宋体" w:hAnsi="新宋体" w:eastAsia="新宋体" w:cs="仿宋_GB2312"/>
          <w:b/>
          <w:sz w:val="24"/>
          <w:szCs w:val="28"/>
        </w:rPr>
        <w:t>奖项情况</w:t>
      </w:r>
    </w:p>
    <w:p>
      <w:pPr>
        <w:spacing w:line="360" w:lineRule="auto"/>
        <w:rPr>
          <w:rFonts w:ascii="新宋体" w:hAnsi="新宋体" w:eastAsia="新宋体" w:cs="Arial"/>
          <w:sz w:val="24"/>
          <w:szCs w:val="28"/>
        </w:rPr>
      </w:pPr>
    </w:p>
    <w:p>
      <w:pPr>
        <w:spacing w:line="360" w:lineRule="auto"/>
        <w:rPr>
          <w:rFonts w:ascii="新宋体" w:hAnsi="新宋体" w:eastAsia="新宋体" w:cs="Arial"/>
          <w:b/>
          <w:sz w:val="24"/>
          <w:szCs w:val="28"/>
        </w:rPr>
      </w:pPr>
      <w:r>
        <w:rPr>
          <w:rFonts w:hint="eastAsia" w:ascii="新宋体" w:hAnsi="新宋体" w:eastAsia="新宋体" w:cs="Arial"/>
          <w:b/>
          <w:sz w:val="24"/>
          <w:szCs w:val="28"/>
        </w:rPr>
        <w:t>三、报价人资质证书情况</w:t>
      </w:r>
    </w:p>
    <w:p>
      <w:pPr>
        <w:pStyle w:val="4"/>
        <w:numPr>
          <w:ilvl w:val="0"/>
          <w:numId w:val="0"/>
        </w:numPr>
        <w:spacing w:before="156" w:after="156"/>
        <w:jc w:val="center"/>
        <w:rPr>
          <w:rFonts w:hAnsi="宋体" w:cs="Arial"/>
          <w:bCs w:val="0"/>
          <w:sz w:val="24"/>
          <w:szCs w:val="28"/>
        </w:rPr>
      </w:pPr>
      <w:bookmarkStart w:id="202" w:name="_Toc536777265"/>
      <w:bookmarkStart w:id="203" w:name="_Toc12118380"/>
      <w:bookmarkStart w:id="204" w:name="_Toc46738163"/>
      <w:bookmarkStart w:id="205" w:name="_Toc46738297"/>
      <w:bookmarkStart w:id="206" w:name="_Toc46738424"/>
      <w:bookmarkStart w:id="207" w:name="_Toc75917314"/>
      <w:bookmarkStart w:id="208" w:name="_Toc347481638"/>
      <w:bookmarkStart w:id="209" w:name="_Toc372145637"/>
      <w:r>
        <w:rPr>
          <w:rFonts w:hint="eastAsia" w:hAnsi="宋体" w:cs="Arial"/>
          <w:bCs w:val="0"/>
          <w:sz w:val="24"/>
          <w:szCs w:val="28"/>
        </w:rPr>
        <w:br w:type="page"/>
      </w:r>
      <w:bookmarkStart w:id="210" w:name="_Toc7016567"/>
      <w:bookmarkStart w:id="211" w:name="_Toc3627199"/>
      <w:bookmarkStart w:id="212" w:name="_Toc513448420"/>
      <w:bookmarkStart w:id="213" w:name="_Toc22966"/>
      <w:bookmarkStart w:id="214" w:name="_Toc13966"/>
      <w:r>
        <w:rPr>
          <w:rFonts w:hint="eastAsia" w:hAnsi="宋体" w:cs="Arial"/>
          <w:bCs w:val="0"/>
          <w:sz w:val="24"/>
          <w:szCs w:val="28"/>
        </w:rPr>
        <w:t>附件1-6  项目主要负责人简历表</w:t>
      </w:r>
      <w:bookmarkEnd w:id="202"/>
      <w:bookmarkEnd w:id="203"/>
      <w:bookmarkEnd w:id="204"/>
      <w:bookmarkEnd w:id="205"/>
      <w:bookmarkEnd w:id="206"/>
      <w:bookmarkEnd w:id="207"/>
      <w:bookmarkEnd w:id="208"/>
      <w:bookmarkEnd w:id="209"/>
      <w:bookmarkEnd w:id="210"/>
      <w:bookmarkEnd w:id="211"/>
      <w:bookmarkEnd w:id="212"/>
      <w:bookmarkEnd w:id="213"/>
      <w:bookmarkEnd w:id="214"/>
    </w:p>
    <w:p>
      <w:pPr>
        <w:spacing w:line="360" w:lineRule="auto"/>
        <w:jc w:val="left"/>
        <w:rPr>
          <w:rFonts w:ascii="宋体" w:hAnsi="宋体" w:cs="Arial"/>
          <w:sz w:val="24"/>
          <w:szCs w:val="28"/>
        </w:rPr>
      </w:pPr>
      <w:r>
        <w:rPr>
          <w:rFonts w:hint="eastAsia" w:ascii="宋体" w:hAnsi="宋体" w:cs="Arial"/>
          <w:sz w:val="24"/>
          <w:szCs w:val="28"/>
        </w:rPr>
        <w:t>投标人:</w:t>
      </w:r>
    </w:p>
    <w:tbl>
      <w:tblPr>
        <w:tblStyle w:val="27"/>
        <w:tblW w:w="9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54"/>
        <w:gridCol w:w="479"/>
        <w:gridCol w:w="806"/>
        <w:gridCol w:w="653"/>
        <w:gridCol w:w="550"/>
        <w:gridCol w:w="608"/>
        <w:gridCol w:w="786"/>
        <w:gridCol w:w="631"/>
        <w:gridCol w:w="1030"/>
        <w:gridCol w:w="275"/>
        <w:gridCol w:w="14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宋体" w:hAnsi="宋体" w:cs="Arial"/>
                <w:sz w:val="24"/>
                <w:szCs w:val="28"/>
              </w:rPr>
            </w:pPr>
            <w:r>
              <w:rPr>
                <w:rFonts w:hint="eastAsia" w:ascii="宋体" w:hAnsi="宋体" w:cs="Arial"/>
                <w:sz w:val="24"/>
                <w:szCs w:val="28"/>
              </w:rPr>
              <w:t>姓名</w:t>
            </w:r>
          </w:p>
        </w:tc>
        <w:tc>
          <w:tcPr>
            <w:tcW w:w="2039" w:type="dxa"/>
            <w:gridSpan w:val="3"/>
          </w:tcPr>
          <w:p>
            <w:pPr>
              <w:spacing w:line="360" w:lineRule="auto"/>
              <w:rPr>
                <w:rFonts w:ascii="宋体" w:hAnsi="宋体" w:cs="Arial"/>
                <w:sz w:val="24"/>
                <w:szCs w:val="28"/>
              </w:rPr>
            </w:pPr>
          </w:p>
        </w:tc>
        <w:tc>
          <w:tcPr>
            <w:tcW w:w="1203" w:type="dxa"/>
            <w:gridSpan w:val="2"/>
          </w:tcPr>
          <w:p>
            <w:pPr>
              <w:spacing w:line="360" w:lineRule="auto"/>
              <w:jc w:val="center"/>
              <w:rPr>
                <w:rFonts w:ascii="宋体" w:hAnsi="宋体" w:cs="Arial"/>
                <w:sz w:val="24"/>
                <w:szCs w:val="28"/>
              </w:rPr>
            </w:pPr>
            <w:r>
              <w:rPr>
                <w:rFonts w:hint="eastAsia" w:ascii="宋体" w:hAnsi="宋体" w:cs="Arial"/>
                <w:sz w:val="24"/>
                <w:szCs w:val="28"/>
              </w:rPr>
              <w:t>性别</w:t>
            </w:r>
          </w:p>
        </w:tc>
        <w:tc>
          <w:tcPr>
            <w:tcW w:w="2025" w:type="dxa"/>
            <w:gridSpan w:val="3"/>
          </w:tcPr>
          <w:p>
            <w:pPr>
              <w:spacing w:line="360" w:lineRule="auto"/>
              <w:rPr>
                <w:rFonts w:ascii="宋体" w:hAnsi="宋体" w:cs="Arial"/>
                <w:sz w:val="24"/>
                <w:szCs w:val="28"/>
              </w:rPr>
            </w:pPr>
          </w:p>
        </w:tc>
        <w:tc>
          <w:tcPr>
            <w:tcW w:w="1448" w:type="dxa"/>
            <w:gridSpan w:val="3"/>
          </w:tcPr>
          <w:p>
            <w:pPr>
              <w:spacing w:line="360" w:lineRule="auto"/>
              <w:jc w:val="center"/>
              <w:rPr>
                <w:rFonts w:ascii="宋体" w:hAnsi="宋体" w:cs="Arial"/>
                <w:sz w:val="24"/>
                <w:szCs w:val="28"/>
              </w:rPr>
            </w:pPr>
            <w:r>
              <w:rPr>
                <w:rFonts w:hint="eastAsia" w:ascii="宋体" w:hAnsi="宋体" w:cs="Arial"/>
                <w:sz w:val="24"/>
                <w:szCs w:val="28"/>
              </w:rPr>
              <w:t>年龄</w:t>
            </w:r>
          </w:p>
        </w:tc>
        <w:tc>
          <w:tcPr>
            <w:tcW w:w="1782" w:type="dxa"/>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宋体" w:hAnsi="宋体" w:cs="Arial"/>
                <w:sz w:val="24"/>
                <w:szCs w:val="28"/>
              </w:rPr>
            </w:pPr>
            <w:r>
              <w:rPr>
                <w:rFonts w:hint="eastAsia" w:ascii="宋体" w:hAnsi="宋体" w:cs="Arial"/>
                <w:sz w:val="24"/>
                <w:szCs w:val="28"/>
              </w:rPr>
              <w:t>职务</w:t>
            </w:r>
          </w:p>
        </w:tc>
        <w:tc>
          <w:tcPr>
            <w:tcW w:w="2039" w:type="dxa"/>
            <w:gridSpan w:val="3"/>
          </w:tcPr>
          <w:p>
            <w:pPr>
              <w:spacing w:line="360" w:lineRule="auto"/>
              <w:rPr>
                <w:rFonts w:ascii="宋体" w:hAnsi="宋体" w:cs="Arial"/>
                <w:sz w:val="24"/>
                <w:szCs w:val="28"/>
              </w:rPr>
            </w:pPr>
          </w:p>
        </w:tc>
        <w:tc>
          <w:tcPr>
            <w:tcW w:w="1203" w:type="dxa"/>
            <w:gridSpan w:val="2"/>
          </w:tcPr>
          <w:p>
            <w:pPr>
              <w:spacing w:line="360" w:lineRule="auto"/>
              <w:jc w:val="center"/>
              <w:rPr>
                <w:rFonts w:ascii="宋体" w:hAnsi="宋体" w:cs="Arial"/>
                <w:sz w:val="24"/>
                <w:szCs w:val="28"/>
              </w:rPr>
            </w:pPr>
            <w:r>
              <w:rPr>
                <w:rFonts w:hint="eastAsia" w:ascii="宋体" w:hAnsi="宋体" w:cs="Arial"/>
                <w:sz w:val="24"/>
                <w:szCs w:val="28"/>
              </w:rPr>
              <w:t>职称</w:t>
            </w:r>
          </w:p>
        </w:tc>
        <w:tc>
          <w:tcPr>
            <w:tcW w:w="2025" w:type="dxa"/>
            <w:gridSpan w:val="3"/>
          </w:tcPr>
          <w:p>
            <w:pPr>
              <w:spacing w:line="360" w:lineRule="auto"/>
              <w:rPr>
                <w:rFonts w:ascii="宋体" w:hAnsi="宋体" w:cs="Arial"/>
                <w:sz w:val="24"/>
                <w:szCs w:val="28"/>
              </w:rPr>
            </w:pPr>
          </w:p>
        </w:tc>
        <w:tc>
          <w:tcPr>
            <w:tcW w:w="1448" w:type="dxa"/>
            <w:gridSpan w:val="3"/>
          </w:tcPr>
          <w:p>
            <w:pPr>
              <w:spacing w:line="360" w:lineRule="auto"/>
              <w:jc w:val="center"/>
              <w:rPr>
                <w:rFonts w:ascii="宋体" w:hAnsi="宋体" w:cs="Arial"/>
                <w:sz w:val="24"/>
                <w:szCs w:val="28"/>
              </w:rPr>
            </w:pPr>
            <w:r>
              <w:rPr>
                <w:rFonts w:hint="eastAsia" w:ascii="宋体" w:hAnsi="宋体" w:cs="Arial"/>
                <w:sz w:val="24"/>
                <w:szCs w:val="28"/>
              </w:rPr>
              <w:t>学历</w:t>
            </w:r>
          </w:p>
        </w:tc>
        <w:tc>
          <w:tcPr>
            <w:tcW w:w="1782" w:type="dxa"/>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宋体" w:hAnsi="宋体" w:cs="Arial"/>
                <w:sz w:val="24"/>
                <w:szCs w:val="28"/>
              </w:rPr>
            </w:pPr>
            <w:r>
              <w:rPr>
                <w:rFonts w:hint="eastAsia" w:ascii="宋体" w:hAnsi="宋体" w:cs="Arial"/>
                <w:sz w:val="24"/>
                <w:szCs w:val="28"/>
              </w:rPr>
              <w:t>办公</w:t>
            </w:r>
          </w:p>
          <w:p>
            <w:pPr>
              <w:spacing w:line="360" w:lineRule="auto"/>
              <w:jc w:val="center"/>
              <w:rPr>
                <w:rFonts w:ascii="宋体" w:hAnsi="宋体" w:cs="Arial"/>
                <w:sz w:val="24"/>
                <w:szCs w:val="28"/>
              </w:rPr>
            </w:pPr>
            <w:r>
              <w:rPr>
                <w:rFonts w:hint="eastAsia" w:ascii="宋体" w:hAnsi="宋体" w:cs="Arial"/>
                <w:sz w:val="24"/>
                <w:szCs w:val="28"/>
              </w:rPr>
              <w:t>电话</w:t>
            </w:r>
          </w:p>
        </w:tc>
        <w:tc>
          <w:tcPr>
            <w:tcW w:w="2039" w:type="dxa"/>
            <w:gridSpan w:val="3"/>
          </w:tcPr>
          <w:p>
            <w:pPr>
              <w:spacing w:line="360" w:lineRule="auto"/>
              <w:rPr>
                <w:rFonts w:ascii="宋体" w:hAnsi="宋体" w:cs="Arial"/>
                <w:sz w:val="24"/>
                <w:szCs w:val="28"/>
              </w:rPr>
            </w:pPr>
          </w:p>
        </w:tc>
        <w:tc>
          <w:tcPr>
            <w:tcW w:w="1203" w:type="dxa"/>
            <w:gridSpan w:val="2"/>
          </w:tcPr>
          <w:p>
            <w:pPr>
              <w:spacing w:line="360" w:lineRule="auto"/>
              <w:jc w:val="center"/>
              <w:rPr>
                <w:rFonts w:ascii="宋体" w:hAnsi="宋体" w:cs="Arial"/>
                <w:sz w:val="24"/>
                <w:szCs w:val="28"/>
              </w:rPr>
            </w:pPr>
            <w:r>
              <w:rPr>
                <w:rFonts w:hint="eastAsia" w:ascii="宋体" w:hAnsi="宋体" w:cs="Arial"/>
                <w:sz w:val="24"/>
                <w:szCs w:val="28"/>
              </w:rPr>
              <w:t>住宅</w:t>
            </w:r>
          </w:p>
          <w:p>
            <w:pPr>
              <w:spacing w:line="360" w:lineRule="auto"/>
              <w:jc w:val="center"/>
              <w:rPr>
                <w:rFonts w:ascii="宋体" w:hAnsi="宋体" w:cs="Arial"/>
                <w:sz w:val="24"/>
                <w:szCs w:val="28"/>
              </w:rPr>
            </w:pPr>
            <w:r>
              <w:rPr>
                <w:rFonts w:hint="eastAsia" w:ascii="宋体" w:hAnsi="宋体" w:cs="Arial"/>
                <w:sz w:val="24"/>
                <w:szCs w:val="28"/>
              </w:rPr>
              <w:t>电话</w:t>
            </w:r>
          </w:p>
        </w:tc>
        <w:tc>
          <w:tcPr>
            <w:tcW w:w="2025" w:type="dxa"/>
            <w:gridSpan w:val="3"/>
          </w:tcPr>
          <w:p>
            <w:pPr>
              <w:spacing w:line="360" w:lineRule="auto"/>
              <w:rPr>
                <w:rFonts w:ascii="宋体" w:hAnsi="宋体" w:cs="Arial"/>
                <w:sz w:val="24"/>
                <w:szCs w:val="28"/>
              </w:rPr>
            </w:pPr>
          </w:p>
        </w:tc>
        <w:tc>
          <w:tcPr>
            <w:tcW w:w="1448" w:type="dxa"/>
            <w:gridSpan w:val="3"/>
          </w:tcPr>
          <w:p>
            <w:pPr>
              <w:spacing w:line="360" w:lineRule="auto"/>
              <w:jc w:val="center"/>
              <w:rPr>
                <w:rFonts w:ascii="宋体" w:hAnsi="宋体" w:cs="Arial"/>
                <w:sz w:val="24"/>
                <w:szCs w:val="28"/>
              </w:rPr>
            </w:pPr>
            <w:r>
              <w:rPr>
                <w:rFonts w:hint="eastAsia" w:ascii="宋体" w:hAnsi="宋体" w:cs="Arial"/>
                <w:sz w:val="24"/>
                <w:szCs w:val="28"/>
              </w:rPr>
              <w:t>移动电话</w:t>
            </w:r>
          </w:p>
        </w:tc>
        <w:tc>
          <w:tcPr>
            <w:tcW w:w="1782" w:type="dxa"/>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21" w:type="dxa"/>
            <w:gridSpan w:val="3"/>
          </w:tcPr>
          <w:p>
            <w:pPr>
              <w:spacing w:line="360" w:lineRule="auto"/>
              <w:rPr>
                <w:rFonts w:ascii="宋体" w:hAnsi="宋体" w:cs="Arial"/>
                <w:sz w:val="24"/>
                <w:szCs w:val="28"/>
              </w:rPr>
            </w:pPr>
            <w:r>
              <w:rPr>
                <w:rFonts w:hint="eastAsia" w:ascii="宋体" w:hAnsi="宋体" w:cs="Arial"/>
                <w:sz w:val="24"/>
                <w:szCs w:val="28"/>
              </w:rPr>
              <w:t>参加工作时间</w:t>
            </w:r>
          </w:p>
        </w:tc>
        <w:tc>
          <w:tcPr>
            <w:tcW w:w="2617" w:type="dxa"/>
            <w:gridSpan w:val="4"/>
          </w:tcPr>
          <w:p>
            <w:pPr>
              <w:spacing w:line="360" w:lineRule="auto"/>
              <w:rPr>
                <w:rFonts w:ascii="宋体" w:hAnsi="宋体" w:cs="Arial"/>
                <w:sz w:val="24"/>
                <w:szCs w:val="28"/>
              </w:rPr>
            </w:pPr>
          </w:p>
        </w:tc>
        <w:tc>
          <w:tcPr>
            <w:tcW w:w="2447" w:type="dxa"/>
            <w:gridSpan w:val="3"/>
          </w:tcPr>
          <w:p>
            <w:pPr>
              <w:spacing w:line="360" w:lineRule="auto"/>
              <w:rPr>
                <w:rFonts w:ascii="宋体" w:hAnsi="宋体" w:cs="Arial"/>
                <w:sz w:val="24"/>
                <w:szCs w:val="28"/>
              </w:rPr>
            </w:pPr>
            <w:r>
              <w:rPr>
                <w:rFonts w:hint="eastAsia" w:ascii="宋体" w:hAnsi="宋体" w:cs="Arial"/>
                <w:sz w:val="24"/>
                <w:szCs w:val="28"/>
              </w:rPr>
              <w:t>从事工作年限</w:t>
            </w:r>
          </w:p>
        </w:tc>
        <w:tc>
          <w:tcPr>
            <w:tcW w:w="2200" w:type="dxa"/>
            <w:gridSpan w:val="3"/>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21" w:type="dxa"/>
            <w:gridSpan w:val="3"/>
          </w:tcPr>
          <w:p>
            <w:pPr>
              <w:spacing w:line="360" w:lineRule="auto"/>
              <w:rPr>
                <w:rFonts w:ascii="宋体" w:hAnsi="宋体" w:cs="Arial"/>
                <w:sz w:val="24"/>
                <w:szCs w:val="28"/>
              </w:rPr>
            </w:pPr>
            <w:r>
              <w:rPr>
                <w:rFonts w:hint="eastAsia" w:ascii="宋体" w:hAnsi="宋体" w:cs="Arial"/>
                <w:sz w:val="24"/>
                <w:szCs w:val="28"/>
              </w:rPr>
              <w:t>具有认证资质</w:t>
            </w:r>
          </w:p>
        </w:tc>
        <w:tc>
          <w:tcPr>
            <w:tcW w:w="7264" w:type="dxa"/>
            <w:gridSpan w:val="10"/>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85" w:type="dxa"/>
            <w:gridSpan w:val="13"/>
          </w:tcPr>
          <w:p>
            <w:pPr>
              <w:spacing w:line="360" w:lineRule="auto"/>
              <w:jc w:val="center"/>
              <w:rPr>
                <w:rFonts w:ascii="宋体" w:hAnsi="宋体" w:cs="Arial"/>
                <w:sz w:val="24"/>
                <w:szCs w:val="28"/>
              </w:rPr>
            </w:pPr>
            <w:r>
              <w:rPr>
                <w:rFonts w:hint="eastAsia" w:ascii="宋体" w:hAnsi="宋体" w:cs="Arial"/>
                <w:sz w:val="24"/>
                <w:szCs w:val="28"/>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gridSpan w:val="2"/>
          </w:tcPr>
          <w:p>
            <w:pPr>
              <w:spacing w:line="360" w:lineRule="auto"/>
              <w:jc w:val="center"/>
              <w:rPr>
                <w:rFonts w:ascii="宋体" w:hAnsi="宋体" w:cs="Arial"/>
                <w:sz w:val="24"/>
                <w:szCs w:val="28"/>
              </w:rPr>
            </w:pPr>
            <w:r>
              <w:rPr>
                <w:rFonts w:hint="eastAsia" w:ascii="宋体" w:hAnsi="宋体" w:cs="Arial"/>
                <w:sz w:val="24"/>
                <w:szCs w:val="28"/>
              </w:rPr>
              <w:t>建设单位</w:t>
            </w:r>
          </w:p>
        </w:tc>
        <w:tc>
          <w:tcPr>
            <w:tcW w:w="1938" w:type="dxa"/>
            <w:gridSpan w:val="3"/>
          </w:tcPr>
          <w:p>
            <w:pPr>
              <w:spacing w:line="360" w:lineRule="auto"/>
              <w:jc w:val="center"/>
              <w:rPr>
                <w:rFonts w:ascii="宋体" w:hAnsi="宋体" w:cs="Arial"/>
                <w:sz w:val="24"/>
                <w:szCs w:val="28"/>
              </w:rPr>
            </w:pPr>
            <w:r>
              <w:rPr>
                <w:rFonts w:hint="eastAsia" w:ascii="宋体" w:hAnsi="宋体" w:cs="Arial"/>
                <w:sz w:val="24"/>
                <w:szCs w:val="28"/>
              </w:rPr>
              <w:t>项目名称</w:t>
            </w:r>
          </w:p>
        </w:tc>
        <w:tc>
          <w:tcPr>
            <w:tcW w:w="1944" w:type="dxa"/>
            <w:gridSpan w:val="3"/>
          </w:tcPr>
          <w:p>
            <w:pPr>
              <w:spacing w:line="360" w:lineRule="auto"/>
              <w:jc w:val="center"/>
              <w:rPr>
                <w:rFonts w:ascii="宋体" w:hAnsi="宋体" w:cs="Arial"/>
                <w:sz w:val="24"/>
                <w:szCs w:val="28"/>
              </w:rPr>
            </w:pPr>
            <w:r>
              <w:rPr>
                <w:rFonts w:hint="eastAsia" w:ascii="宋体" w:hAnsi="宋体" w:cs="Arial"/>
                <w:sz w:val="24"/>
                <w:szCs w:val="28"/>
              </w:rPr>
              <w:t>建设规模</w:t>
            </w:r>
          </w:p>
        </w:tc>
        <w:tc>
          <w:tcPr>
            <w:tcW w:w="1936" w:type="dxa"/>
            <w:gridSpan w:val="3"/>
          </w:tcPr>
          <w:p>
            <w:pPr>
              <w:spacing w:line="360" w:lineRule="auto"/>
              <w:jc w:val="center"/>
              <w:rPr>
                <w:rFonts w:ascii="宋体" w:hAnsi="宋体" w:cs="Arial"/>
                <w:sz w:val="24"/>
                <w:szCs w:val="28"/>
              </w:rPr>
            </w:pPr>
            <w:r>
              <w:rPr>
                <w:rFonts w:hint="eastAsia" w:ascii="宋体" w:hAnsi="宋体" w:cs="Arial"/>
                <w:sz w:val="24"/>
                <w:szCs w:val="28"/>
              </w:rPr>
              <w:t>竣工日期</w:t>
            </w:r>
          </w:p>
        </w:tc>
        <w:tc>
          <w:tcPr>
            <w:tcW w:w="1925" w:type="dxa"/>
            <w:gridSpan w:val="2"/>
          </w:tcPr>
          <w:p>
            <w:pPr>
              <w:spacing w:line="360" w:lineRule="auto"/>
              <w:jc w:val="center"/>
              <w:rPr>
                <w:rFonts w:ascii="宋体" w:hAnsi="宋体" w:cs="Arial"/>
                <w:sz w:val="24"/>
                <w:szCs w:val="28"/>
              </w:rPr>
            </w:pPr>
            <w:r>
              <w:rPr>
                <w:rFonts w:hint="eastAsia" w:ascii="宋体" w:hAnsi="宋体" w:cs="Arial"/>
                <w:sz w:val="24"/>
                <w:szCs w:val="28"/>
              </w:rPr>
              <w:t>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gridSpan w:val="2"/>
          </w:tcPr>
          <w:p>
            <w:pPr>
              <w:spacing w:line="360" w:lineRule="auto"/>
              <w:rPr>
                <w:rFonts w:ascii="宋体" w:hAnsi="宋体" w:cs="Arial"/>
                <w:sz w:val="24"/>
                <w:szCs w:val="28"/>
              </w:rPr>
            </w:pPr>
          </w:p>
        </w:tc>
        <w:tc>
          <w:tcPr>
            <w:tcW w:w="1938" w:type="dxa"/>
            <w:gridSpan w:val="3"/>
          </w:tcPr>
          <w:p>
            <w:pPr>
              <w:spacing w:line="360" w:lineRule="auto"/>
              <w:rPr>
                <w:rFonts w:ascii="宋体" w:hAnsi="宋体" w:cs="Arial"/>
                <w:sz w:val="24"/>
                <w:szCs w:val="28"/>
              </w:rPr>
            </w:pPr>
          </w:p>
        </w:tc>
        <w:tc>
          <w:tcPr>
            <w:tcW w:w="1944" w:type="dxa"/>
            <w:gridSpan w:val="3"/>
          </w:tcPr>
          <w:p>
            <w:pPr>
              <w:spacing w:line="360" w:lineRule="auto"/>
              <w:rPr>
                <w:rFonts w:ascii="宋体" w:hAnsi="宋体" w:cs="Arial"/>
                <w:sz w:val="24"/>
                <w:szCs w:val="28"/>
              </w:rPr>
            </w:pPr>
          </w:p>
        </w:tc>
        <w:tc>
          <w:tcPr>
            <w:tcW w:w="1936" w:type="dxa"/>
            <w:gridSpan w:val="3"/>
          </w:tcPr>
          <w:p>
            <w:pPr>
              <w:spacing w:line="360" w:lineRule="auto"/>
              <w:rPr>
                <w:rFonts w:ascii="宋体" w:hAnsi="宋体" w:cs="Arial"/>
                <w:sz w:val="24"/>
                <w:szCs w:val="28"/>
              </w:rPr>
            </w:pPr>
          </w:p>
        </w:tc>
        <w:tc>
          <w:tcPr>
            <w:tcW w:w="1925" w:type="dxa"/>
            <w:gridSpan w:val="2"/>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gridSpan w:val="2"/>
          </w:tcPr>
          <w:p>
            <w:pPr>
              <w:spacing w:line="360" w:lineRule="auto"/>
              <w:rPr>
                <w:rFonts w:ascii="宋体" w:hAnsi="宋体" w:cs="Arial"/>
                <w:sz w:val="24"/>
                <w:szCs w:val="28"/>
              </w:rPr>
            </w:pPr>
          </w:p>
        </w:tc>
        <w:tc>
          <w:tcPr>
            <w:tcW w:w="1938" w:type="dxa"/>
            <w:gridSpan w:val="3"/>
          </w:tcPr>
          <w:p>
            <w:pPr>
              <w:spacing w:line="360" w:lineRule="auto"/>
              <w:rPr>
                <w:rFonts w:ascii="宋体" w:hAnsi="宋体" w:cs="Arial"/>
                <w:sz w:val="24"/>
                <w:szCs w:val="28"/>
              </w:rPr>
            </w:pPr>
          </w:p>
        </w:tc>
        <w:tc>
          <w:tcPr>
            <w:tcW w:w="1944" w:type="dxa"/>
            <w:gridSpan w:val="3"/>
          </w:tcPr>
          <w:p>
            <w:pPr>
              <w:spacing w:line="360" w:lineRule="auto"/>
              <w:rPr>
                <w:rFonts w:ascii="宋体" w:hAnsi="宋体" w:cs="Arial"/>
                <w:sz w:val="24"/>
                <w:szCs w:val="28"/>
              </w:rPr>
            </w:pPr>
          </w:p>
        </w:tc>
        <w:tc>
          <w:tcPr>
            <w:tcW w:w="1936" w:type="dxa"/>
            <w:gridSpan w:val="3"/>
          </w:tcPr>
          <w:p>
            <w:pPr>
              <w:spacing w:line="360" w:lineRule="auto"/>
              <w:rPr>
                <w:rFonts w:ascii="宋体" w:hAnsi="宋体" w:cs="Arial"/>
                <w:sz w:val="24"/>
                <w:szCs w:val="28"/>
              </w:rPr>
            </w:pPr>
          </w:p>
        </w:tc>
        <w:tc>
          <w:tcPr>
            <w:tcW w:w="1925" w:type="dxa"/>
            <w:gridSpan w:val="2"/>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gridSpan w:val="2"/>
          </w:tcPr>
          <w:p>
            <w:pPr>
              <w:spacing w:line="360" w:lineRule="auto"/>
              <w:rPr>
                <w:rFonts w:ascii="宋体" w:hAnsi="宋体" w:cs="Arial"/>
                <w:sz w:val="24"/>
                <w:szCs w:val="28"/>
              </w:rPr>
            </w:pPr>
          </w:p>
        </w:tc>
        <w:tc>
          <w:tcPr>
            <w:tcW w:w="1938" w:type="dxa"/>
            <w:gridSpan w:val="3"/>
          </w:tcPr>
          <w:p>
            <w:pPr>
              <w:spacing w:line="360" w:lineRule="auto"/>
              <w:rPr>
                <w:rFonts w:ascii="宋体" w:hAnsi="宋体" w:cs="Arial"/>
                <w:sz w:val="24"/>
                <w:szCs w:val="28"/>
              </w:rPr>
            </w:pPr>
          </w:p>
        </w:tc>
        <w:tc>
          <w:tcPr>
            <w:tcW w:w="1944" w:type="dxa"/>
            <w:gridSpan w:val="3"/>
          </w:tcPr>
          <w:p>
            <w:pPr>
              <w:spacing w:line="360" w:lineRule="auto"/>
              <w:rPr>
                <w:rFonts w:ascii="宋体" w:hAnsi="宋体" w:cs="Arial"/>
                <w:sz w:val="24"/>
                <w:szCs w:val="28"/>
              </w:rPr>
            </w:pPr>
          </w:p>
        </w:tc>
        <w:tc>
          <w:tcPr>
            <w:tcW w:w="1936" w:type="dxa"/>
            <w:gridSpan w:val="3"/>
          </w:tcPr>
          <w:p>
            <w:pPr>
              <w:spacing w:line="360" w:lineRule="auto"/>
              <w:rPr>
                <w:rFonts w:ascii="宋体" w:hAnsi="宋体" w:cs="Arial"/>
                <w:sz w:val="24"/>
                <w:szCs w:val="28"/>
              </w:rPr>
            </w:pPr>
          </w:p>
        </w:tc>
        <w:tc>
          <w:tcPr>
            <w:tcW w:w="1925" w:type="dxa"/>
            <w:gridSpan w:val="2"/>
          </w:tcPr>
          <w:p>
            <w:pPr>
              <w:spacing w:line="360" w:lineRule="auto"/>
              <w:rPr>
                <w:rFonts w:ascii="宋体" w:hAnsi="宋体" w:cs="Arial"/>
                <w:sz w:val="24"/>
                <w:szCs w:val="28"/>
              </w:rPr>
            </w:pPr>
          </w:p>
        </w:tc>
      </w:tr>
    </w:tbl>
    <w:p>
      <w:pPr>
        <w:spacing w:line="360" w:lineRule="auto"/>
        <w:rPr>
          <w:rFonts w:ascii="宋体" w:hAnsi="宋体" w:cs="Arial"/>
          <w:sz w:val="24"/>
          <w:szCs w:val="28"/>
        </w:rPr>
      </w:pPr>
    </w:p>
    <w:p>
      <w:pPr>
        <w:pStyle w:val="4"/>
        <w:numPr>
          <w:ilvl w:val="0"/>
          <w:numId w:val="0"/>
        </w:numPr>
        <w:spacing w:before="156" w:after="156"/>
        <w:jc w:val="center"/>
        <w:rPr>
          <w:rFonts w:hAnsi="宋体" w:cs="Arial"/>
          <w:bCs w:val="0"/>
          <w:sz w:val="24"/>
          <w:szCs w:val="28"/>
        </w:rPr>
      </w:pPr>
      <w:bookmarkStart w:id="215" w:name="_Toc518605390"/>
      <w:bookmarkStart w:id="216" w:name="_Toc535633948"/>
      <w:bookmarkStart w:id="217" w:name="_Toc536777266"/>
      <w:bookmarkStart w:id="218" w:name="_Toc12118381"/>
      <w:bookmarkStart w:id="219" w:name="_Toc46738164"/>
      <w:bookmarkStart w:id="220" w:name="_Toc46738425"/>
      <w:bookmarkStart w:id="221" w:name="_Toc75917315"/>
      <w:bookmarkStart w:id="222" w:name="_Toc347481639"/>
      <w:bookmarkStart w:id="223" w:name="_Toc372145638"/>
      <w:bookmarkStart w:id="224" w:name="_Toc46738298"/>
      <w:r>
        <w:rPr>
          <w:rFonts w:hint="eastAsia" w:hAnsi="宋体" w:cs="Arial"/>
          <w:bCs w:val="0"/>
          <w:sz w:val="24"/>
          <w:szCs w:val="28"/>
        </w:rPr>
        <w:br w:type="page"/>
      </w:r>
      <w:bookmarkStart w:id="225" w:name="_Toc513448421"/>
      <w:bookmarkStart w:id="226" w:name="_Toc3627200"/>
      <w:bookmarkStart w:id="227" w:name="_Toc7016568"/>
      <w:bookmarkStart w:id="228" w:name="_Toc11153"/>
      <w:bookmarkStart w:id="229" w:name="_Toc31682"/>
      <w:r>
        <w:rPr>
          <w:rFonts w:hint="eastAsia" w:hAnsi="宋体" w:cs="Arial"/>
          <w:bCs w:val="0"/>
          <w:sz w:val="24"/>
          <w:szCs w:val="28"/>
        </w:rPr>
        <w:t xml:space="preserve">附件1-7  </w:t>
      </w:r>
      <w:bookmarkEnd w:id="215"/>
      <w:bookmarkEnd w:id="216"/>
      <w:bookmarkEnd w:id="217"/>
      <w:bookmarkEnd w:id="218"/>
      <w:bookmarkEnd w:id="219"/>
      <w:bookmarkEnd w:id="220"/>
      <w:bookmarkEnd w:id="221"/>
      <w:bookmarkEnd w:id="222"/>
      <w:bookmarkEnd w:id="223"/>
      <w:bookmarkEnd w:id="224"/>
      <w:r>
        <w:rPr>
          <w:rFonts w:hint="eastAsia" w:hAnsi="宋体" w:cs="Arial"/>
          <w:bCs w:val="0"/>
          <w:sz w:val="24"/>
          <w:szCs w:val="28"/>
        </w:rPr>
        <w:t>承担本项目主要负责人及其他工作人员表</w:t>
      </w:r>
      <w:bookmarkEnd w:id="225"/>
      <w:bookmarkEnd w:id="226"/>
      <w:bookmarkEnd w:id="227"/>
      <w:bookmarkEnd w:id="228"/>
      <w:bookmarkEnd w:id="229"/>
    </w:p>
    <w:tbl>
      <w:tblPr>
        <w:tblStyle w:val="27"/>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560"/>
        <w:gridCol w:w="880"/>
        <w:gridCol w:w="1559"/>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auto"/>
              <w:jc w:val="center"/>
              <w:rPr>
                <w:rFonts w:ascii="宋体" w:hAnsi="宋体" w:cs="Arial"/>
                <w:bCs/>
                <w:sz w:val="24"/>
                <w:szCs w:val="28"/>
              </w:rPr>
            </w:pPr>
            <w:r>
              <w:rPr>
                <w:rFonts w:hint="eastAsia" w:ascii="宋体" w:hAnsi="宋体" w:cs="Arial"/>
                <w:bCs/>
                <w:sz w:val="24"/>
                <w:szCs w:val="28"/>
              </w:rPr>
              <w:t>姓名</w:t>
            </w:r>
          </w:p>
        </w:tc>
        <w:tc>
          <w:tcPr>
            <w:tcW w:w="1560" w:type="dxa"/>
            <w:vAlign w:val="center"/>
          </w:tcPr>
          <w:p>
            <w:pPr>
              <w:spacing w:line="360" w:lineRule="auto"/>
              <w:jc w:val="center"/>
              <w:rPr>
                <w:rFonts w:ascii="宋体" w:hAnsi="宋体" w:cs="Arial"/>
                <w:bCs/>
                <w:sz w:val="24"/>
                <w:szCs w:val="28"/>
              </w:rPr>
            </w:pPr>
            <w:r>
              <w:rPr>
                <w:rFonts w:hint="eastAsia" w:ascii="宋体" w:hAnsi="宋体" w:cs="Arial"/>
                <w:bCs/>
                <w:sz w:val="24"/>
                <w:szCs w:val="28"/>
              </w:rPr>
              <w:t>部门和职务</w:t>
            </w:r>
          </w:p>
        </w:tc>
        <w:tc>
          <w:tcPr>
            <w:tcW w:w="880" w:type="dxa"/>
            <w:vAlign w:val="center"/>
          </w:tcPr>
          <w:p>
            <w:pPr>
              <w:spacing w:line="360" w:lineRule="auto"/>
              <w:jc w:val="center"/>
              <w:rPr>
                <w:rFonts w:ascii="宋体" w:hAnsi="宋体" w:cs="Arial"/>
                <w:bCs/>
                <w:sz w:val="24"/>
                <w:szCs w:val="28"/>
              </w:rPr>
            </w:pPr>
            <w:r>
              <w:rPr>
                <w:rFonts w:hint="eastAsia" w:ascii="宋体" w:hAnsi="宋体" w:cs="Arial"/>
                <w:bCs/>
                <w:sz w:val="24"/>
                <w:szCs w:val="28"/>
              </w:rPr>
              <w:t>职责</w:t>
            </w:r>
          </w:p>
        </w:tc>
        <w:tc>
          <w:tcPr>
            <w:tcW w:w="1559" w:type="dxa"/>
            <w:vAlign w:val="center"/>
          </w:tcPr>
          <w:p>
            <w:pPr>
              <w:spacing w:line="360" w:lineRule="auto"/>
              <w:jc w:val="center"/>
              <w:rPr>
                <w:rFonts w:ascii="宋体" w:hAnsi="宋体" w:cs="Arial"/>
                <w:bCs/>
                <w:sz w:val="24"/>
                <w:szCs w:val="28"/>
              </w:rPr>
            </w:pPr>
            <w:r>
              <w:rPr>
                <w:rFonts w:hint="eastAsia" w:ascii="宋体" w:hAnsi="宋体" w:cs="Arial"/>
                <w:bCs/>
                <w:sz w:val="24"/>
                <w:szCs w:val="28"/>
              </w:rPr>
              <w:t>常住地</w:t>
            </w:r>
          </w:p>
        </w:tc>
        <w:tc>
          <w:tcPr>
            <w:tcW w:w="3717" w:type="dxa"/>
            <w:vAlign w:val="center"/>
          </w:tcPr>
          <w:p>
            <w:pPr>
              <w:spacing w:line="360" w:lineRule="auto"/>
              <w:jc w:val="center"/>
              <w:rPr>
                <w:rFonts w:ascii="宋体" w:hAnsi="宋体" w:cs="Arial"/>
                <w:bCs/>
                <w:sz w:val="24"/>
                <w:szCs w:val="28"/>
              </w:rPr>
            </w:pPr>
            <w:r>
              <w:rPr>
                <w:rFonts w:hint="eastAsia" w:ascii="宋体" w:hAnsi="宋体" w:cs="Arial"/>
                <w:bCs/>
                <w:sz w:val="24"/>
                <w:szCs w:val="28"/>
              </w:rPr>
              <w:t>获得认证资质证书、</w:t>
            </w:r>
          </w:p>
          <w:p>
            <w:pPr>
              <w:spacing w:line="360" w:lineRule="auto"/>
              <w:jc w:val="center"/>
              <w:rPr>
                <w:rFonts w:ascii="宋体" w:hAnsi="宋体" w:cs="Arial"/>
                <w:bCs/>
                <w:sz w:val="24"/>
                <w:szCs w:val="28"/>
              </w:rPr>
            </w:pPr>
            <w:r>
              <w:rPr>
                <w:rFonts w:hint="eastAsia" w:ascii="宋体" w:hAnsi="宋体" w:cs="Arial"/>
                <w:bCs/>
                <w:sz w:val="24"/>
                <w:szCs w:val="28"/>
              </w:rPr>
              <w:t>最高学历及承担过的类似项目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auto"/>
              <w:rPr>
                <w:rFonts w:ascii="宋体" w:hAnsi="宋体" w:cs="Arial"/>
                <w:sz w:val="24"/>
                <w:szCs w:val="28"/>
              </w:rPr>
            </w:pPr>
          </w:p>
        </w:tc>
        <w:tc>
          <w:tcPr>
            <w:tcW w:w="1560" w:type="dxa"/>
            <w:vAlign w:val="center"/>
          </w:tcPr>
          <w:p>
            <w:pPr>
              <w:spacing w:line="360" w:lineRule="auto"/>
              <w:rPr>
                <w:rFonts w:ascii="宋体" w:hAnsi="宋体" w:cs="Arial"/>
                <w:sz w:val="24"/>
                <w:szCs w:val="28"/>
              </w:rPr>
            </w:pPr>
          </w:p>
        </w:tc>
        <w:tc>
          <w:tcPr>
            <w:tcW w:w="880" w:type="dxa"/>
            <w:vAlign w:val="center"/>
          </w:tcPr>
          <w:p>
            <w:pPr>
              <w:spacing w:line="360" w:lineRule="auto"/>
              <w:rPr>
                <w:rFonts w:ascii="宋体" w:hAnsi="宋体" w:cs="Arial"/>
                <w:sz w:val="24"/>
                <w:szCs w:val="28"/>
              </w:rPr>
            </w:pPr>
          </w:p>
        </w:tc>
        <w:tc>
          <w:tcPr>
            <w:tcW w:w="1559" w:type="dxa"/>
            <w:vAlign w:val="center"/>
          </w:tcPr>
          <w:p>
            <w:pPr>
              <w:spacing w:line="360" w:lineRule="auto"/>
              <w:rPr>
                <w:rFonts w:ascii="宋体" w:hAnsi="宋体" w:cs="Arial"/>
                <w:sz w:val="24"/>
                <w:szCs w:val="28"/>
              </w:rPr>
            </w:pPr>
          </w:p>
        </w:tc>
        <w:tc>
          <w:tcPr>
            <w:tcW w:w="3717" w:type="dxa"/>
            <w:vAlign w:val="center"/>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auto"/>
              <w:rPr>
                <w:rFonts w:ascii="宋体" w:hAnsi="宋体" w:cs="Arial"/>
                <w:sz w:val="24"/>
                <w:szCs w:val="28"/>
              </w:rPr>
            </w:pPr>
          </w:p>
        </w:tc>
        <w:tc>
          <w:tcPr>
            <w:tcW w:w="1560" w:type="dxa"/>
            <w:vAlign w:val="center"/>
          </w:tcPr>
          <w:p>
            <w:pPr>
              <w:spacing w:line="360" w:lineRule="auto"/>
              <w:rPr>
                <w:rFonts w:ascii="宋体" w:hAnsi="宋体" w:cs="Arial"/>
                <w:sz w:val="24"/>
                <w:szCs w:val="28"/>
              </w:rPr>
            </w:pPr>
          </w:p>
        </w:tc>
        <w:tc>
          <w:tcPr>
            <w:tcW w:w="880" w:type="dxa"/>
            <w:vAlign w:val="center"/>
          </w:tcPr>
          <w:p>
            <w:pPr>
              <w:spacing w:line="360" w:lineRule="auto"/>
              <w:rPr>
                <w:rFonts w:ascii="宋体" w:hAnsi="宋体" w:cs="Arial"/>
                <w:sz w:val="24"/>
                <w:szCs w:val="28"/>
              </w:rPr>
            </w:pPr>
          </w:p>
        </w:tc>
        <w:tc>
          <w:tcPr>
            <w:tcW w:w="1559" w:type="dxa"/>
            <w:vAlign w:val="center"/>
          </w:tcPr>
          <w:p>
            <w:pPr>
              <w:spacing w:line="360" w:lineRule="auto"/>
              <w:rPr>
                <w:rFonts w:ascii="宋体" w:hAnsi="宋体" w:cs="Arial"/>
                <w:sz w:val="24"/>
                <w:szCs w:val="28"/>
              </w:rPr>
            </w:pPr>
          </w:p>
        </w:tc>
        <w:tc>
          <w:tcPr>
            <w:tcW w:w="3717" w:type="dxa"/>
            <w:vAlign w:val="center"/>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auto"/>
              <w:rPr>
                <w:rFonts w:ascii="宋体" w:hAnsi="宋体" w:cs="Arial"/>
                <w:sz w:val="24"/>
                <w:szCs w:val="28"/>
              </w:rPr>
            </w:pPr>
          </w:p>
        </w:tc>
        <w:tc>
          <w:tcPr>
            <w:tcW w:w="1560" w:type="dxa"/>
            <w:vAlign w:val="center"/>
          </w:tcPr>
          <w:p>
            <w:pPr>
              <w:spacing w:line="360" w:lineRule="auto"/>
              <w:rPr>
                <w:rFonts w:ascii="宋体" w:hAnsi="宋体" w:cs="Arial"/>
                <w:sz w:val="24"/>
                <w:szCs w:val="28"/>
              </w:rPr>
            </w:pPr>
          </w:p>
        </w:tc>
        <w:tc>
          <w:tcPr>
            <w:tcW w:w="880" w:type="dxa"/>
            <w:vAlign w:val="center"/>
          </w:tcPr>
          <w:p>
            <w:pPr>
              <w:spacing w:line="360" w:lineRule="auto"/>
              <w:rPr>
                <w:rFonts w:ascii="宋体" w:hAnsi="宋体" w:cs="Arial"/>
                <w:sz w:val="24"/>
                <w:szCs w:val="28"/>
              </w:rPr>
            </w:pPr>
          </w:p>
        </w:tc>
        <w:tc>
          <w:tcPr>
            <w:tcW w:w="1559" w:type="dxa"/>
            <w:vAlign w:val="center"/>
          </w:tcPr>
          <w:p>
            <w:pPr>
              <w:spacing w:line="360" w:lineRule="auto"/>
              <w:rPr>
                <w:rFonts w:ascii="宋体" w:hAnsi="宋体" w:cs="Arial"/>
                <w:sz w:val="24"/>
                <w:szCs w:val="28"/>
              </w:rPr>
            </w:pPr>
          </w:p>
        </w:tc>
        <w:tc>
          <w:tcPr>
            <w:tcW w:w="3717" w:type="dxa"/>
            <w:vAlign w:val="center"/>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auto"/>
              <w:rPr>
                <w:rFonts w:ascii="宋体" w:hAnsi="宋体" w:cs="Arial"/>
                <w:sz w:val="24"/>
                <w:szCs w:val="28"/>
              </w:rPr>
            </w:pPr>
          </w:p>
        </w:tc>
        <w:tc>
          <w:tcPr>
            <w:tcW w:w="1560" w:type="dxa"/>
            <w:vAlign w:val="center"/>
          </w:tcPr>
          <w:p>
            <w:pPr>
              <w:spacing w:line="360" w:lineRule="auto"/>
              <w:rPr>
                <w:rFonts w:ascii="宋体" w:hAnsi="宋体" w:cs="Arial"/>
                <w:sz w:val="24"/>
                <w:szCs w:val="28"/>
              </w:rPr>
            </w:pPr>
          </w:p>
        </w:tc>
        <w:tc>
          <w:tcPr>
            <w:tcW w:w="880" w:type="dxa"/>
            <w:vAlign w:val="center"/>
          </w:tcPr>
          <w:p>
            <w:pPr>
              <w:spacing w:line="360" w:lineRule="auto"/>
              <w:rPr>
                <w:rFonts w:ascii="宋体" w:hAnsi="宋体" w:cs="Arial"/>
                <w:sz w:val="24"/>
                <w:szCs w:val="28"/>
              </w:rPr>
            </w:pPr>
          </w:p>
        </w:tc>
        <w:tc>
          <w:tcPr>
            <w:tcW w:w="1559" w:type="dxa"/>
            <w:vAlign w:val="center"/>
          </w:tcPr>
          <w:p>
            <w:pPr>
              <w:spacing w:line="360" w:lineRule="auto"/>
              <w:rPr>
                <w:rFonts w:ascii="宋体" w:hAnsi="宋体" w:cs="Arial"/>
                <w:sz w:val="24"/>
                <w:szCs w:val="28"/>
              </w:rPr>
            </w:pPr>
          </w:p>
        </w:tc>
        <w:tc>
          <w:tcPr>
            <w:tcW w:w="3717" w:type="dxa"/>
            <w:vAlign w:val="center"/>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auto"/>
              <w:rPr>
                <w:rFonts w:ascii="宋体" w:hAnsi="宋体" w:cs="Arial"/>
                <w:sz w:val="24"/>
                <w:szCs w:val="28"/>
              </w:rPr>
            </w:pPr>
          </w:p>
        </w:tc>
        <w:tc>
          <w:tcPr>
            <w:tcW w:w="1560" w:type="dxa"/>
            <w:vAlign w:val="center"/>
          </w:tcPr>
          <w:p>
            <w:pPr>
              <w:spacing w:line="360" w:lineRule="auto"/>
              <w:rPr>
                <w:rFonts w:ascii="宋体" w:hAnsi="宋体" w:cs="Arial"/>
                <w:sz w:val="24"/>
                <w:szCs w:val="28"/>
              </w:rPr>
            </w:pPr>
          </w:p>
        </w:tc>
        <w:tc>
          <w:tcPr>
            <w:tcW w:w="880" w:type="dxa"/>
            <w:vAlign w:val="center"/>
          </w:tcPr>
          <w:p>
            <w:pPr>
              <w:spacing w:line="360" w:lineRule="auto"/>
              <w:rPr>
                <w:rFonts w:ascii="宋体" w:hAnsi="宋体" w:cs="Arial"/>
                <w:sz w:val="24"/>
                <w:szCs w:val="28"/>
              </w:rPr>
            </w:pPr>
          </w:p>
        </w:tc>
        <w:tc>
          <w:tcPr>
            <w:tcW w:w="1559" w:type="dxa"/>
            <w:vAlign w:val="center"/>
          </w:tcPr>
          <w:p>
            <w:pPr>
              <w:spacing w:line="360" w:lineRule="auto"/>
              <w:rPr>
                <w:rFonts w:ascii="宋体" w:hAnsi="宋体" w:cs="Arial"/>
                <w:sz w:val="24"/>
                <w:szCs w:val="28"/>
              </w:rPr>
            </w:pPr>
          </w:p>
        </w:tc>
        <w:tc>
          <w:tcPr>
            <w:tcW w:w="3717" w:type="dxa"/>
            <w:vAlign w:val="center"/>
          </w:tcPr>
          <w:p>
            <w:pPr>
              <w:spacing w:line="360" w:lineRule="auto"/>
              <w:rPr>
                <w:rFonts w:ascii="宋体" w:hAnsi="宋体" w:cs="Arial"/>
                <w:sz w:val="24"/>
                <w:szCs w:val="28"/>
              </w:rPr>
            </w:pPr>
          </w:p>
        </w:tc>
      </w:tr>
    </w:tbl>
    <w:p>
      <w:pPr>
        <w:spacing w:line="360" w:lineRule="auto"/>
        <w:rPr>
          <w:rFonts w:ascii="宋体" w:hAnsi="宋体" w:cs="Arial"/>
          <w:sz w:val="24"/>
          <w:szCs w:val="28"/>
        </w:rPr>
      </w:pPr>
    </w:p>
    <w:p>
      <w:pPr>
        <w:pStyle w:val="16"/>
        <w:rPr>
          <w:rFonts w:hAnsi="宋体" w:cs="Arial"/>
          <w:szCs w:val="28"/>
        </w:rPr>
      </w:pPr>
    </w:p>
    <w:p>
      <w:pPr>
        <w:pStyle w:val="4"/>
        <w:numPr>
          <w:ilvl w:val="0"/>
          <w:numId w:val="0"/>
        </w:numPr>
        <w:spacing w:before="156" w:after="156"/>
        <w:jc w:val="center"/>
        <w:rPr>
          <w:rFonts w:hAnsi="宋体"/>
          <w:bCs w:val="0"/>
          <w:sz w:val="24"/>
          <w:szCs w:val="28"/>
        </w:rPr>
      </w:pPr>
      <w:bookmarkStart w:id="230" w:name="_Toc518605391"/>
      <w:bookmarkStart w:id="231" w:name="_Toc535633949"/>
      <w:bookmarkStart w:id="232" w:name="_Toc536777267"/>
      <w:bookmarkStart w:id="233" w:name="_Toc12118382"/>
      <w:r>
        <w:rPr>
          <w:rFonts w:hint="eastAsia" w:hAnsi="宋体"/>
          <w:sz w:val="24"/>
          <w:szCs w:val="28"/>
        </w:rPr>
        <w:br w:type="page"/>
      </w:r>
      <w:bookmarkStart w:id="234" w:name="_Toc46738165"/>
      <w:bookmarkStart w:id="235" w:name="_Toc46738299"/>
      <w:bookmarkStart w:id="236" w:name="_Toc46738426"/>
      <w:bookmarkStart w:id="237" w:name="_Toc75917316"/>
      <w:bookmarkStart w:id="238" w:name="_Toc347481640"/>
      <w:bookmarkStart w:id="239" w:name="_Toc372145639"/>
      <w:bookmarkStart w:id="240" w:name="_Toc513448422"/>
      <w:bookmarkStart w:id="241" w:name="_Toc3627201"/>
      <w:bookmarkStart w:id="242" w:name="_Toc7016569"/>
      <w:bookmarkStart w:id="243" w:name="_Toc13498"/>
      <w:bookmarkStart w:id="244" w:name="_Toc1919"/>
      <w:r>
        <w:rPr>
          <w:rFonts w:hint="eastAsia" w:hAnsi="宋体" w:cs="Arial"/>
          <w:bCs w:val="0"/>
          <w:sz w:val="24"/>
          <w:szCs w:val="28"/>
        </w:rPr>
        <w:t xml:space="preserve">附件1-8  </w:t>
      </w:r>
      <w:bookmarkEnd w:id="230"/>
      <w:bookmarkEnd w:id="231"/>
      <w:bookmarkEnd w:id="232"/>
      <w:bookmarkEnd w:id="233"/>
      <w:bookmarkEnd w:id="234"/>
      <w:bookmarkEnd w:id="235"/>
      <w:bookmarkEnd w:id="236"/>
      <w:r>
        <w:rPr>
          <w:rFonts w:hint="eastAsia" w:hAnsi="宋体" w:cs="Arial"/>
          <w:bCs w:val="0"/>
          <w:sz w:val="24"/>
          <w:szCs w:val="28"/>
        </w:rPr>
        <w:t>近三年以来已完成同类型项目一览表</w:t>
      </w:r>
      <w:bookmarkEnd w:id="237"/>
      <w:bookmarkEnd w:id="238"/>
      <w:bookmarkEnd w:id="239"/>
      <w:bookmarkEnd w:id="240"/>
      <w:bookmarkEnd w:id="241"/>
      <w:bookmarkEnd w:id="242"/>
      <w:bookmarkEnd w:id="243"/>
      <w:bookmarkEnd w:id="244"/>
    </w:p>
    <w:p>
      <w:pPr>
        <w:spacing w:line="360" w:lineRule="auto"/>
        <w:rPr>
          <w:rFonts w:ascii="宋体" w:hAnsi="宋体" w:cs="Arial"/>
          <w:sz w:val="24"/>
          <w:szCs w:val="28"/>
        </w:rPr>
      </w:pPr>
      <w:r>
        <w:rPr>
          <w:rFonts w:hint="eastAsia" w:ascii="宋体" w:hAnsi="宋体" w:cs="Arial"/>
          <w:sz w:val="24"/>
          <w:szCs w:val="28"/>
        </w:rPr>
        <w:t>投标人:</w:t>
      </w:r>
    </w:p>
    <w:tbl>
      <w:tblPr>
        <w:tblStyle w:val="27"/>
        <w:tblW w:w="9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294"/>
        <w:gridCol w:w="1368"/>
        <w:gridCol w:w="1294"/>
        <w:gridCol w:w="2350"/>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spacing w:line="360" w:lineRule="auto"/>
              <w:jc w:val="center"/>
              <w:rPr>
                <w:rFonts w:ascii="宋体" w:hAnsi="宋体" w:cs="Arial"/>
                <w:bCs/>
                <w:sz w:val="24"/>
                <w:szCs w:val="28"/>
              </w:rPr>
            </w:pPr>
            <w:r>
              <w:rPr>
                <w:rFonts w:hint="eastAsia" w:ascii="宋体" w:hAnsi="宋体" w:cs="Arial"/>
                <w:bCs/>
                <w:sz w:val="24"/>
                <w:szCs w:val="28"/>
              </w:rPr>
              <w:t>序号</w:t>
            </w:r>
          </w:p>
        </w:tc>
        <w:tc>
          <w:tcPr>
            <w:tcW w:w="1294" w:type="dxa"/>
            <w:vAlign w:val="center"/>
          </w:tcPr>
          <w:p>
            <w:pPr>
              <w:spacing w:line="360" w:lineRule="auto"/>
              <w:jc w:val="center"/>
              <w:rPr>
                <w:rFonts w:ascii="宋体" w:hAnsi="宋体" w:cs="Arial"/>
                <w:bCs/>
                <w:sz w:val="24"/>
                <w:szCs w:val="28"/>
              </w:rPr>
            </w:pPr>
            <w:r>
              <w:rPr>
                <w:rFonts w:hint="eastAsia" w:ascii="宋体" w:hAnsi="宋体" w:cs="Arial"/>
                <w:bCs/>
                <w:sz w:val="24"/>
                <w:szCs w:val="28"/>
              </w:rPr>
              <w:t>项目名称</w:t>
            </w:r>
          </w:p>
        </w:tc>
        <w:tc>
          <w:tcPr>
            <w:tcW w:w="1368" w:type="dxa"/>
            <w:vAlign w:val="center"/>
          </w:tcPr>
          <w:p>
            <w:pPr>
              <w:spacing w:line="360" w:lineRule="auto"/>
              <w:jc w:val="center"/>
              <w:rPr>
                <w:rFonts w:ascii="宋体" w:hAnsi="宋体" w:cs="Arial"/>
                <w:bCs/>
                <w:sz w:val="24"/>
                <w:szCs w:val="28"/>
              </w:rPr>
            </w:pPr>
            <w:r>
              <w:rPr>
                <w:rFonts w:hint="eastAsia" w:ascii="宋体" w:hAnsi="宋体" w:cs="Arial"/>
                <w:bCs/>
                <w:sz w:val="24"/>
                <w:szCs w:val="28"/>
              </w:rPr>
              <w:t>规模/造价</w:t>
            </w:r>
          </w:p>
        </w:tc>
        <w:tc>
          <w:tcPr>
            <w:tcW w:w="1294" w:type="dxa"/>
            <w:vAlign w:val="center"/>
          </w:tcPr>
          <w:p>
            <w:pPr>
              <w:spacing w:line="360" w:lineRule="auto"/>
              <w:jc w:val="center"/>
              <w:rPr>
                <w:rFonts w:ascii="宋体" w:hAnsi="宋体" w:cs="Arial"/>
                <w:bCs/>
                <w:sz w:val="24"/>
                <w:szCs w:val="28"/>
              </w:rPr>
            </w:pPr>
            <w:r>
              <w:rPr>
                <w:rFonts w:hint="eastAsia" w:ascii="宋体" w:hAnsi="宋体" w:cs="Arial"/>
                <w:bCs/>
                <w:sz w:val="24"/>
                <w:szCs w:val="28"/>
              </w:rPr>
              <w:t>完成时间</w:t>
            </w:r>
          </w:p>
        </w:tc>
        <w:tc>
          <w:tcPr>
            <w:tcW w:w="2350" w:type="dxa"/>
            <w:vAlign w:val="center"/>
          </w:tcPr>
          <w:p>
            <w:pPr>
              <w:spacing w:line="360" w:lineRule="auto"/>
              <w:jc w:val="center"/>
              <w:rPr>
                <w:rFonts w:ascii="宋体" w:hAnsi="宋体" w:cs="Arial"/>
                <w:bCs/>
                <w:sz w:val="24"/>
                <w:szCs w:val="28"/>
              </w:rPr>
            </w:pPr>
            <w:r>
              <w:rPr>
                <w:rFonts w:hint="eastAsia" w:ascii="宋体" w:hAnsi="宋体" w:cs="Arial"/>
                <w:bCs/>
                <w:sz w:val="24"/>
                <w:szCs w:val="28"/>
              </w:rPr>
              <w:t>具体内容及成果</w:t>
            </w:r>
          </w:p>
        </w:tc>
        <w:tc>
          <w:tcPr>
            <w:tcW w:w="2615" w:type="dxa"/>
            <w:vAlign w:val="center"/>
          </w:tcPr>
          <w:p>
            <w:pPr>
              <w:spacing w:line="360" w:lineRule="auto"/>
              <w:jc w:val="center"/>
              <w:rPr>
                <w:rFonts w:ascii="宋体" w:hAnsi="宋体" w:cs="Arial"/>
                <w:bCs/>
                <w:sz w:val="24"/>
                <w:szCs w:val="28"/>
              </w:rPr>
            </w:pPr>
            <w:r>
              <w:rPr>
                <w:rFonts w:hint="eastAsia" w:ascii="宋体" w:hAnsi="宋体" w:cs="Arial"/>
                <w:bCs/>
                <w:sz w:val="24"/>
                <w:szCs w:val="28"/>
              </w:rPr>
              <w:t xml:space="preserve">项目单位 </w:t>
            </w:r>
          </w:p>
          <w:p>
            <w:pPr>
              <w:spacing w:line="360" w:lineRule="auto"/>
              <w:jc w:val="center"/>
              <w:rPr>
                <w:rFonts w:ascii="宋体" w:hAnsi="宋体" w:cs="Arial"/>
                <w:bCs/>
                <w:sz w:val="24"/>
                <w:szCs w:val="28"/>
              </w:rPr>
            </w:pPr>
            <w:r>
              <w:rPr>
                <w:rFonts w:hint="eastAsia" w:ascii="宋体" w:hAnsi="宋体" w:cs="Arial"/>
                <w:bCs/>
                <w:sz w:val="24"/>
                <w:szCs w:val="28"/>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Pr>
          <w:p>
            <w:pPr>
              <w:spacing w:line="360" w:lineRule="auto"/>
              <w:rPr>
                <w:rFonts w:ascii="宋体" w:hAnsi="宋体" w:cs="Arial"/>
                <w:sz w:val="24"/>
                <w:szCs w:val="28"/>
              </w:rPr>
            </w:pPr>
          </w:p>
        </w:tc>
        <w:tc>
          <w:tcPr>
            <w:tcW w:w="1294" w:type="dxa"/>
          </w:tcPr>
          <w:p>
            <w:pPr>
              <w:spacing w:line="360" w:lineRule="auto"/>
              <w:rPr>
                <w:rFonts w:ascii="宋体" w:hAnsi="宋体" w:cs="Arial"/>
                <w:sz w:val="24"/>
                <w:szCs w:val="28"/>
              </w:rPr>
            </w:pPr>
          </w:p>
        </w:tc>
        <w:tc>
          <w:tcPr>
            <w:tcW w:w="1368" w:type="dxa"/>
          </w:tcPr>
          <w:p>
            <w:pPr>
              <w:spacing w:line="360" w:lineRule="auto"/>
              <w:rPr>
                <w:rFonts w:ascii="宋体" w:hAnsi="宋体" w:cs="Arial"/>
                <w:sz w:val="24"/>
                <w:szCs w:val="28"/>
              </w:rPr>
            </w:pPr>
          </w:p>
        </w:tc>
        <w:tc>
          <w:tcPr>
            <w:tcW w:w="1294" w:type="dxa"/>
          </w:tcPr>
          <w:p>
            <w:pPr>
              <w:spacing w:line="360" w:lineRule="auto"/>
              <w:rPr>
                <w:rFonts w:ascii="宋体" w:hAnsi="宋体" w:cs="Arial"/>
                <w:sz w:val="24"/>
                <w:szCs w:val="28"/>
              </w:rPr>
            </w:pPr>
          </w:p>
        </w:tc>
        <w:tc>
          <w:tcPr>
            <w:tcW w:w="2350" w:type="dxa"/>
          </w:tcPr>
          <w:p>
            <w:pPr>
              <w:spacing w:line="360" w:lineRule="auto"/>
              <w:rPr>
                <w:rFonts w:ascii="宋体" w:hAnsi="宋体" w:cs="Arial"/>
                <w:sz w:val="24"/>
                <w:szCs w:val="28"/>
              </w:rPr>
            </w:pPr>
          </w:p>
        </w:tc>
        <w:tc>
          <w:tcPr>
            <w:tcW w:w="2615" w:type="dxa"/>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Pr>
          <w:p>
            <w:pPr>
              <w:spacing w:line="360" w:lineRule="auto"/>
              <w:rPr>
                <w:rFonts w:ascii="宋体" w:hAnsi="宋体" w:cs="Arial"/>
                <w:sz w:val="24"/>
                <w:szCs w:val="28"/>
              </w:rPr>
            </w:pPr>
          </w:p>
        </w:tc>
        <w:tc>
          <w:tcPr>
            <w:tcW w:w="1294" w:type="dxa"/>
          </w:tcPr>
          <w:p>
            <w:pPr>
              <w:spacing w:line="360" w:lineRule="auto"/>
              <w:rPr>
                <w:rFonts w:ascii="宋体" w:hAnsi="宋体" w:cs="Arial"/>
                <w:sz w:val="24"/>
                <w:szCs w:val="28"/>
              </w:rPr>
            </w:pPr>
          </w:p>
        </w:tc>
        <w:tc>
          <w:tcPr>
            <w:tcW w:w="1368" w:type="dxa"/>
          </w:tcPr>
          <w:p>
            <w:pPr>
              <w:spacing w:line="360" w:lineRule="auto"/>
              <w:rPr>
                <w:rFonts w:ascii="宋体" w:hAnsi="宋体" w:cs="Arial"/>
                <w:sz w:val="24"/>
                <w:szCs w:val="28"/>
              </w:rPr>
            </w:pPr>
          </w:p>
        </w:tc>
        <w:tc>
          <w:tcPr>
            <w:tcW w:w="1294" w:type="dxa"/>
          </w:tcPr>
          <w:p>
            <w:pPr>
              <w:spacing w:line="360" w:lineRule="auto"/>
              <w:rPr>
                <w:rFonts w:ascii="宋体" w:hAnsi="宋体" w:cs="Arial"/>
                <w:sz w:val="24"/>
                <w:szCs w:val="28"/>
              </w:rPr>
            </w:pPr>
          </w:p>
        </w:tc>
        <w:tc>
          <w:tcPr>
            <w:tcW w:w="2350" w:type="dxa"/>
          </w:tcPr>
          <w:p>
            <w:pPr>
              <w:spacing w:line="360" w:lineRule="auto"/>
              <w:rPr>
                <w:rFonts w:ascii="宋体" w:hAnsi="宋体" w:cs="Arial"/>
                <w:sz w:val="24"/>
                <w:szCs w:val="28"/>
              </w:rPr>
            </w:pPr>
          </w:p>
        </w:tc>
        <w:tc>
          <w:tcPr>
            <w:tcW w:w="2615" w:type="dxa"/>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Pr>
          <w:p>
            <w:pPr>
              <w:spacing w:line="360" w:lineRule="auto"/>
              <w:rPr>
                <w:rFonts w:ascii="宋体" w:hAnsi="宋体" w:cs="Arial"/>
                <w:sz w:val="24"/>
                <w:szCs w:val="28"/>
              </w:rPr>
            </w:pPr>
          </w:p>
        </w:tc>
        <w:tc>
          <w:tcPr>
            <w:tcW w:w="1294" w:type="dxa"/>
          </w:tcPr>
          <w:p>
            <w:pPr>
              <w:spacing w:line="360" w:lineRule="auto"/>
              <w:rPr>
                <w:rFonts w:ascii="宋体" w:hAnsi="宋体" w:cs="Arial"/>
                <w:sz w:val="24"/>
                <w:szCs w:val="28"/>
              </w:rPr>
            </w:pPr>
          </w:p>
        </w:tc>
        <w:tc>
          <w:tcPr>
            <w:tcW w:w="1368" w:type="dxa"/>
          </w:tcPr>
          <w:p>
            <w:pPr>
              <w:spacing w:line="360" w:lineRule="auto"/>
              <w:rPr>
                <w:rFonts w:ascii="宋体" w:hAnsi="宋体" w:cs="Arial"/>
                <w:sz w:val="24"/>
                <w:szCs w:val="28"/>
              </w:rPr>
            </w:pPr>
          </w:p>
        </w:tc>
        <w:tc>
          <w:tcPr>
            <w:tcW w:w="1294" w:type="dxa"/>
          </w:tcPr>
          <w:p>
            <w:pPr>
              <w:spacing w:line="360" w:lineRule="auto"/>
              <w:rPr>
                <w:rFonts w:ascii="宋体" w:hAnsi="宋体" w:cs="Arial"/>
                <w:sz w:val="24"/>
                <w:szCs w:val="28"/>
              </w:rPr>
            </w:pPr>
          </w:p>
        </w:tc>
        <w:tc>
          <w:tcPr>
            <w:tcW w:w="2350" w:type="dxa"/>
          </w:tcPr>
          <w:p>
            <w:pPr>
              <w:spacing w:line="360" w:lineRule="auto"/>
              <w:rPr>
                <w:rFonts w:ascii="宋体" w:hAnsi="宋体" w:cs="Arial"/>
                <w:sz w:val="24"/>
                <w:szCs w:val="28"/>
              </w:rPr>
            </w:pPr>
          </w:p>
        </w:tc>
        <w:tc>
          <w:tcPr>
            <w:tcW w:w="2615" w:type="dxa"/>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Pr>
          <w:p>
            <w:pPr>
              <w:spacing w:line="360" w:lineRule="auto"/>
              <w:rPr>
                <w:rFonts w:ascii="宋体" w:hAnsi="宋体" w:cs="Arial"/>
                <w:sz w:val="24"/>
                <w:szCs w:val="28"/>
              </w:rPr>
            </w:pPr>
          </w:p>
        </w:tc>
        <w:tc>
          <w:tcPr>
            <w:tcW w:w="1294" w:type="dxa"/>
          </w:tcPr>
          <w:p>
            <w:pPr>
              <w:spacing w:line="360" w:lineRule="auto"/>
              <w:rPr>
                <w:rFonts w:ascii="宋体" w:hAnsi="宋体" w:cs="Arial"/>
                <w:sz w:val="24"/>
                <w:szCs w:val="28"/>
              </w:rPr>
            </w:pPr>
          </w:p>
        </w:tc>
        <w:tc>
          <w:tcPr>
            <w:tcW w:w="1368" w:type="dxa"/>
          </w:tcPr>
          <w:p>
            <w:pPr>
              <w:spacing w:line="360" w:lineRule="auto"/>
              <w:rPr>
                <w:rFonts w:ascii="宋体" w:hAnsi="宋体" w:cs="Arial"/>
                <w:sz w:val="24"/>
                <w:szCs w:val="28"/>
              </w:rPr>
            </w:pPr>
          </w:p>
        </w:tc>
        <w:tc>
          <w:tcPr>
            <w:tcW w:w="1294" w:type="dxa"/>
          </w:tcPr>
          <w:p>
            <w:pPr>
              <w:spacing w:line="360" w:lineRule="auto"/>
              <w:rPr>
                <w:rFonts w:ascii="宋体" w:hAnsi="宋体" w:cs="Arial"/>
                <w:sz w:val="24"/>
                <w:szCs w:val="28"/>
              </w:rPr>
            </w:pPr>
          </w:p>
        </w:tc>
        <w:tc>
          <w:tcPr>
            <w:tcW w:w="2350" w:type="dxa"/>
          </w:tcPr>
          <w:p>
            <w:pPr>
              <w:spacing w:line="360" w:lineRule="auto"/>
              <w:rPr>
                <w:rFonts w:ascii="宋体" w:hAnsi="宋体" w:cs="Arial"/>
                <w:sz w:val="24"/>
                <w:szCs w:val="28"/>
              </w:rPr>
            </w:pPr>
          </w:p>
        </w:tc>
        <w:tc>
          <w:tcPr>
            <w:tcW w:w="2615" w:type="dxa"/>
          </w:tcPr>
          <w:p>
            <w:pPr>
              <w:spacing w:line="360" w:lineRule="auto"/>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Pr>
          <w:p>
            <w:pPr>
              <w:spacing w:line="360" w:lineRule="auto"/>
              <w:rPr>
                <w:rFonts w:ascii="宋体" w:hAnsi="宋体" w:cs="Arial"/>
                <w:sz w:val="24"/>
                <w:szCs w:val="28"/>
              </w:rPr>
            </w:pPr>
          </w:p>
        </w:tc>
        <w:tc>
          <w:tcPr>
            <w:tcW w:w="1294" w:type="dxa"/>
          </w:tcPr>
          <w:p>
            <w:pPr>
              <w:spacing w:line="360" w:lineRule="auto"/>
              <w:rPr>
                <w:rFonts w:ascii="宋体" w:hAnsi="宋体" w:cs="Arial"/>
                <w:sz w:val="24"/>
                <w:szCs w:val="28"/>
              </w:rPr>
            </w:pPr>
          </w:p>
        </w:tc>
        <w:tc>
          <w:tcPr>
            <w:tcW w:w="1368" w:type="dxa"/>
          </w:tcPr>
          <w:p>
            <w:pPr>
              <w:spacing w:line="360" w:lineRule="auto"/>
              <w:rPr>
                <w:rFonts w:ascii="宋体" w:hAnsi="宋体" w:cs="Arial"/>
                <w:sz w:val="24"/>
                <w:szCs w:val="28"/>
              </w:rPr>
            </w:pPr>
          </w:p>
        </w:tc>
        <w:tc>
          <w:tcPr>
            <w:tcW w:w="1294" w:type="dxa"/>
          </w:tcPr>
          <w:p>
            <w:pPr>
              <w:spacing w:line="360" w:lineRule="auto"/>
              <w:rPr>
                <w:rFonts w:ascii="宋体" w:hAnsi="宋体" w:cs="Arial"/>
                <w:sz w:val="24"/>
                <w:szCs w:val="28"/>
              </w:rPr>
            </w:pPr>
          </w:p>
        </w:tc>
        <w:tc>
          <w:tcPr>
            <w:tcW w:w="2350" w:type="dxa"/>
          </w:tcPr>
          <w:p>
            <w:pPr>
              <w:spacing w:line="360" w:lineRule="auto"/>
              <w:rPr>
                <w:rFonts w:ascii="宋体" w:hAnsi="宋体" w:cs="Arial"/>
                <w:sz w:val="24"/>
                <w:szCs w:val="28"/>
              </w:rPr>
            </w:pPr>
          </w:p>
        </w:tc>
        <w:tc>
          <w:tcPr>
            <w:tcW w:w="2615" w:type="dxa"/>
          </w:tcPr>
          <w:p>
            <w:pPr>
              <w:spacing w:line="360" w:lineRule="auto"/>
              <w:rPr>
                <w:rFonts w:ascii="宋体" w:hAnsi="宋体" w:cs="Arial"/>
                <w:sz w:val="24"/>
                <w:szCs w:val="28"/>
              </w:rPr>
            </w:pPr>
          </w:p>
        </w:tc>
      </w:tr>
    </w:tbl>
    <w:p>
      <w:pPr>
        <w:tabs>
          <w:tab w:val="left" w:pos="630"/>
        </w:tabs>
        <w:spacing w:line="360" w:lineRule="auto"/>
        <w:rPr>
          <w:rFonts w:ascii="宋体" w:hAnsi="宋体" w:cs="Arial"/>
          <w:sz w:val="24"/>
          <w:szCs w:val="28"/>
        </w:rPr>
      </w:pPr>
      <w:r>
        <w:rPr>
          <w:rFonts w:hint="eastAsia" w:ascii="宋体" w:hAnsi="宋体" w:cs="Arial"/>
          <w:sz w:val="24"/>
          <w:szCs w:val="28"/>
        </w:rPr>
        <w:t xml:space="preserve">  （此表可延长）</w:t>
      </w:r>
    </w:p>
    <w:p>
      <w:pPr>
        <w:widowControl/>
        <w:jc w:val="left"/>
        <w:rPr>
          <w:rFonts w:asciiTheme="minorHAnsi" w:hAnsiTheme="minorHAnsi" w:eastAsiaTheme="minorEastAsia" w:cstheme="minorBidi"/>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F00129"/>
    <w:multiLevelType w:val="singleLevel"/>
    <w:tmpl w:val="B3F00129"/>
    <w:lvl w:ilvl="0" w:tentative="0">
      <w:start w:val="2"/>
      <w:numFmt w:val="chineseCounting"/>
      <w:suff w:val="nothing"/>
      <w:lvlText w:val="%1、"/>
      <w:lvlJc w:val="left"/>
      <w:rPr>
        <w:rFonts w:hint="eastAsia"/>
      </w:rPr>
    </w:lvl>
  </w:abstractNum>
  <w:abstractNum w:abstractNumId="1">
    <w:nsid w:val="044E60E4"/>
    <w:multiLevelType w:val="multilevel"/>
    <w:tmpl w:val="044E60E4"/>
    <w:lvl w:ilvl="0" w:tentative="0">
      <w:start w:val="1"/>
      <w:numFmt w:val="decimal"/>
      <w:pStyle w:val="111"/>
      <w:isLgl/>
      <w:lvlText w:val="%1"/>
      <w:lvlJc w:val="left"/>
      <w:pPr>
        <w:ind w:left="0" w:firstLine="0"/>
      </w:pPr>
      <w:rPr>
        <w:rFonts w:hint="eastAsia"/>
      </w:rPr>
    </w:lvl>
    <w:lvl w:ilvl="1" w:tentative="0">
      <w:start w:val="1"/>
      <w:numFmt w:val="decimal"/>
      <w:pStyle w:val="110"/>
      <w:isLgl/>
      <w:lvlText w:val="%1.%2"/>
      <w:lvlJc w:val="left"/>
      <w:pPr>
        <w:ind w:left="0" w:firstLine="0"/>
      </w:pPr>
      <w:rPr>
        <w:rFonts w:hint="eastAsia"/>
      </w:rPr>
    </w:lvl>
    <w:lvl w:ilvl="2" w:tentative="0">
      <w:start w:val="1"/>
      <w:numFmt w:val="decimal"/>
      <w:pStyle w:val="84"/>
      <w:isLgl/>
      <w:lvlText w:val="%1.%2.%3"/>
      <w:lvlJc w:val="left"/>
      <w:pPr>
        <w:ind w:left="0" w:firstLine="0"/>
      </w:pPr>
      <w:rPr>
        <w:rFonts w:hint="eastAsia"/>
      </w:rPr>
    </w:lvl>
    <w:lvl w:ilvl="3" w:tentative="0">
      <w:start w:val="1"/>
      <w:numFmt w:val="decimal"/>
      <w:pStyle w:val="151"/>
      <w:isLgl/>
      <w:lvlText w:val="%1.%2.%3.%4"/>
      <w:lvlJc w:val="left"/>
      <w:pPr>
        <w:ind w:left="0" w:firstLine="0"/>
      </w:pPr>
      <w:rPr>
        <w:rFonts w:hint="eastAsia"/>
      </w:rPr>
    </w:lvl>
    <w:lvl w:ilvl="4" w:tentative="0">
      <w:start w:val="1"/>
      <w:numFmt w:val="decimal"/>
      <w:pStyle w:val="125"/>
      <w:isLgl/>
      <w:lvlText w:val="%1.%2.%3.%4.%5"/>
      <w:lvlJc w:val="left"/>
      <w:pPr>
        <w:ind w:left="0" w:firstLine="0"/>
      </w:pPr>
      <w:rPr>
        <w:rFonts w:hint="eastAsia"/>
      </w:rPr>
    </w:lvl>
    <w:lvl w:ilvl="5" w:tentative="0">
      <w:start w:val="1"/>
      <w:numFmt w:val="decimal"/>
      <w:pStyle w:val="136"/>
      <w:isLgl/>
      <w:lvlText w:val="%1.%2.%3.%4.%5.%6"/>
      <w:lvlJc w:val="left"/>
      <w:pPr>
        <w:ind w:left="0" w:firstLine="0"/>
      </w:pPr>
      <w:rPr>
        <w:rFonts w:hint="eastAsia"/>
      </w:rPr>
    </w:lvl>
    <w:lvl w:ilvl="6" w:tentative="0">
      <w:start w:val="1"/>
      <w:numFmt w:val="decimal"/>
      <w:pStyle w:val="112"/>
      <w:isLgl/>
      <w:lvlText w:val="%1.%2.%3.%4.%5.%6.%7"/>
      <w:lvlJc w:val="left"/>
      <w:pPr>
        <w:ind w:left="0" w:firstLine="0"/>
      </w:pPr>
      <w:rPr>
        <w:rFonts w:hint="eastAsia"/>
      </w:rPr>
    </w:lvl>
    <w:lvl w:ilvl="7" w:tentative="0">
      <w:start w:val="1"/>
      <w:numFmt w:val="decimal"/>
      <w:pStyle w:val="126"/>
      <w:isLgl/>
      <w:lvlText w:val="%1.%2.%3.%4.%5.%6.%7.%8"/>
      <w:lvlJc w:val="left"/>
      <w:pPr>
        <w:ind w:left="0" w:firstLine="0"/>
      </w:pPr>
      <w:rPr>
        <w:rFonts w:hint="eastAsia"/>
      </w:rPr>
    </w:lvl>
    <w:lvl w:ilvl="8" w:tentative="0">
      <w:start w:val="1"/>
      <w:numFmt w:val="decimal"/>
      <w:pStyle w:val="144"/>
      <w:isLgl/>
      <w:lvlText w:val="%1.%2.%3.%4.%5.%6.%7.%8.%9"/>
      <w:lvlJc w:val="left"/>
      <w:pPr>
        <w:ind w:left="0" w:firstLine="0"/>
      </w:pPr>
      <w:rPr>
        <w:rFonts w:hint="eastAsia"/>
      </w:rPr>
    </w:lvl>
  </w:abstractNum>
  <w:abstractNum w:abstractNumId="2">
    <w:nsid w:val="04E751C0"/>
    <w:multiLevelType w:val="multilevel"/>
    <w:tmpl w:val="04E751C0"/>
    <w:lvl w:ilvl="0" w:tentative="0">
      <w:start w:val="2"/>
      <w:numFmt w:val="decimal"/>
      <w:pStyle w:val="157"/>
      <w:lvlText w:val="%1"/>
      <w:lvlJc w:val="left"/>
      <w:pPr>
        <w:tabs>
          <w:tab w:val="left" w:pos="425"/>
        </w:tabs>
        <w:ind w:left="425" w:hanging="425"/>
      </w:pPr>
      <w:rPr>
        <w:rFonts w:hint="eastAsia"/>
      </w:rPr>
    </w:lvl>
    <w:lvl w:ilvl="1" w:tentative="0">
      <w:start w:val="1"/>
      <w:numFmt w:val="decimal"/>
      <w:lvlText w:val="%1.%2"/>
      <w:lvlJc w:val="left"/>
      <w:pPr>
        <w:tabs>
          <w:tab w:val="left" w:pos="993"/>
        </w:tabs>
        <w:ind w:left="993"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59B48F9"/>
    <w:multiLevelType w:val="multilevel"/>
    <w:tmpl w:val="059B48F9"/>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
    <w:nsid w:val="05EA2146"/>
    <w:multiLevelType w:val="multilevel"/>
    <w:tmpl w:val="05EA2146"/>
    <w:lvl w:ilvl="0" w:tentative="0">
      <w:start w:val="1"/>
      <w:numFmt w:val="decimal"/>
      <w:isLgl/>
      <w:lvlText w:val="%1"/>
      <w:lvlJc w:val="left"/>
      <w:pPr>
        <w:ind w:left="0" w:firstLine="0"/>
      </w:pPr>
      <w:rPr>
        <w:rFonts w:hint="eastAsia"/>
      </w:rPr>
    </w:lvl>
    <w:lvl w:ilvl="1" w:tentative="0">
      <w:start w:val="1"/>
      <w:numFmt w:val="decimal"/>
      <w:pStyle w:val="3"/>
      <w:isLgl/>
      <w:lvlText w:val="%1.%2"/>
      <w:lvlJc w:val="left"/>
      <w:pPr>
        <w:ind w:left="0" w:firstLine="0"/>
      </w:pPr>
      <w:rPr>
        <w:rFonts w:hint="eastAsia"/>
      </w:rPr>
    </w:lvl>
    <w:lvl w:ilvl="2" w:tentative="0">
      <w:start w:val="1"/>
      <w:numFmt w:val="decimal"/>
      <w:pStyle w:val="4"/>
      <w:isLgl/>
      <w:lvlText w:val="%1.%2.%3"/>
      <w:lvlJc w:val="left"/>
      <w:pPr>
        <w:ind w:left="0" w:firstLine="0"/>
      </w:pPr>
      <w:rPr>
        <w:rFonts w:hint="eastAsia"/>
      </w:rPr>
    </w:lvl>
    <w:lvl w:ilvl="3" w:tentative="0">
      <w:start w:val="1"/>
      <w:numFmt w:val="decimal"/>
      <w:isLgl/>
      <w:lvlText w:val="%1.%2.%3.%4"/>
      <w:lvlJc w:val="left"/>
      <w:pPr>
        <w:ind w:left="0" w:firstLine="0"/>
      </w:pPr>
      <w:rPr>
        <w:rFonts w:hint="eastAsia"/>
      </w:rPr>
    </w:lvl>
    <w:lvl w:ilvl="4" w:tentative="0">
      <w:start w:val="1"/>
      <w:numFmt w:val="decimal"/>
      <w:isLgl/>
      <w:lvlText w:val="%1.%2.%3.%4.%5"/>
      <w:lvlJc w:val="left"/>
      <w:pPr>
        <w:ind w:left="0" w:firstLine="0"/>
      </w:pPr>
      <w:rPr>
        <w:rFonts w:hint="eastAsia"/>
      </w:rPr>
    </w:lvl>
    <w:lvl w:ilvl="5" w:tentative="0">
      <w:start w:val="1"/>
      <w:numFmt w:val="decimal"/>
      <w:pStyle w:val="7"/>
      <w:isLgl/>
      <w:lvlText w:val="%1.%2.%3.%4.%5.%6"/>
      <w:lvlJc w:val="left"/>
      <w:pPr>
        <w:ind w:left="0" w:firstLine="0"/>
      </w:pPr>
      <w:rPr>
        <w:rFonts w:hint="eastAsia"/>
      </w:rPr>
    </w:lvl>
    <w:lvl w:ilvl="6" w:tentative="0">
      <w:start w:val="1"/>
      <w:numFmt w:val="decimal"/>
      <w:pStyle w:val="8"/>
      <w:isLgl/>
      <w:lvlText w:val="%1.%2.%3.%4.%5.%6.%7"/>
      <w:lvlJc w:val="left"/>
      <w:pPr>
        <w:ind w:left="0" w:firstLine="0"/>
      </w:pPr>
      <w:rPr>
        <w:rFonts w:hint="eastAsia"/>
      </w:rPr>
    </w:lvl>
    <w:lvl w:ilvl="7" w:tentative="0">
      <w:start w:val="1"/>
      <w:numFmt w:val="decimal"/>
      <w:pStyle w:val="9"/>
      <w:isLgl/>
      <w:lvlText w:val="%1.%2.%3.%4.%5.%6.%7.%8"/>
      <w:lvlJc w:val="left"/>
      <w:pPr>
        <w:ind w:left="0" w:firstLine="0"/>
      </w:pPr>
      <w:rPr>
        <w:rFonts w:hint="eastAsia"/>
      </w:rPr>
    </w:lvl>
    <w:lvl w:ilvl="8" w:tentative="0">
      <w:start w:val="1"/>
      <w:numFmt w:val="decimal"/>
      <w:pStyle w:val="10"/>
      <w:isLgl/>
      <w:lvlText w:val="%1.%2.%3.%4.%5.%6.%7.%8.%9"/>
      <w:lvlJc w:val="left"/>
      <w:pPr>
        <w:ind w:left="0" w:firstLine="0"/>
      </w:pPr>
      <w:rPr>
        <w:rFonts w:hint="eastAsia"/>
      </w:rPr>
    </w:lvl>
  </w:abstractNum>
  <w:abstractNum w:abstractNumId="5">
    <w:nsid w:val="1336432A"/>
    <w:multiLevelType w:val="multilevel"/>
    <w:tmpl w:val="1336432A"/>
    <w:lvl w:ilvl="0" w:tentative="0">
      <w:start w:val="1"/>
      <w:numFmt w:val="decimal"/>
      <w:lvlText w:val="%1."/>
      <w:lvlJc w:val="left"/>
      <w:pPr>
        <w:ind w:left="425" w:hanging="425"/>
      </w:pPr>
      <w:rPr>
        <w:b/>
      </w:rPr>
    </w:lvl>
    <w:lvl w:ilvl="1" w:tentative="0">
      <w:start w:val="1"/>
      <w:numFmt w:val="decimal"/>
      <w:lvlText w:val="%1.%2."/>
      <w:lvlJc w:val="left"/>
      <w:pPr>
        <w:ind w:left="567" w:hanging="567"/>
      </w:pPr>
      <w:rPr>
        <w:b w:val="0"/>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22666D1B"/>
    <w:multiLevelType w:val="multilevel"/>
    <w:tmpl w:val="22666D1B"/>
    <w:lvl w:ilvl="0" w:tentative="0">
      <w:start w:val="1"/>
      <w:numFmt w:val="decimal"/>
      <w:lvlText w:val="%1"/>
      <w:lvlJc w:val="left"/>
      <w:pPr>
        <w:tabs>
          <w:tab w:val="left" w:pos="425"/>
        </w:tabs>
        <w:ind w:left="425" w:hanging="425"/>
      </w:pPr>
      <w:rPr>
        <w:b/>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7">
    <w:nsid w:val="312227D4"/>
    <w:multiLevelType w:val="multilevel"/>
    <w:tmpl w:val="312227D4"/>
    <w:lvl w:ilvl="0" w:tentative="0">
      <w:start w:val="1"/>
      <w:numFmt w:val="decimal"/>
      <w:lvlText w:val="%1."/>
      <w:lvlJc w:val="left"/>
      <w:pPr>
        <w:ind w:left="425" w:hanging="425"/>
      </w:pPr>
      <w:rPr>
        <w:b w:val="0"/>
      </w:rPr>
    </w:lvl>
    <w:lvl w:ilvl="1" w:tentative="0">
      <w:start w:val="1"/>
      <w:numFmt w:val="decimal"/>
      <w:lvlText w:val="%1.%2."/>
      <w:lvlJc w:val="left"/>
      <w:pPr>
        <w:ind w:left="567" w:hanging="567"/>
      </w:pPr>
      <w:rPr>
        <w:b w:val="0"/>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8">
    <w:nsid w:val="3AA876F1"/>
    <w:multiLevelType w:val="multilevel"/>
    <w:tmpl w:val="3AA876F1"/>
    <w:lvl w:ilvl="0" w:tentative="0">
      <w:start w:val="1"/>
      <w:numFmt w:val="decimal"/>
      <w:lvlText w:val="%1."/>
      <w:lvlJc w:val="left"/>
      <w:pPr>
        <w:tabs>
          <w:tab w:val="left" w:pos="3260"/>
        </w:tabs>
        <w:ind w:left="3260" w:hanging="425"/>
      </w:pPr>
    </w:lvl>
    <w:lvl w:ilvl="1" w:tentative="0">
      <w:start w:val="1"/>
      <w:numFmt w:val="decimal"/>
      <w:lvlText w:val="%1.%2."/>
      <w:lvlJc w:val="left"/>
      <w:pPr>
        <w:tabs>
          <w:tab w:val="left" w:pos="3402"/>
        </w:tabs>
        <w:ind w:left="3402" w:hanging="567"/>
      </w:pPr>
      <w:rPr>
        <w:b/>
      </w:rPr>
    </w:lvl>
    <w:lvl w:ilvl="2" w:tentative="0">
      <w:start w:val="1"/>
      <w:numFmt w:val="decimal"/>
      <w:lvlText w:val="%1.%2.%3."/>
      <w:lvlJc w:val="left"/>
      <w:pPr>
        <w:tabs>
          <w:tab w:val="left" w:pos="3544"/>
        </w:tabs>
        <w:ind w:left="3544" w:hanging="709"/>
      </w:pPr>
      <w:rPr>
        <w:b w:val="0"/>
      </w:rPr>
    </w:lvl>
    <w:lvl w:ilvl="3" w:tentative="0">
      <w:start w:val="1"/>
      <w:numFmt w:val="decimal"/>
      <w:lvlText w:val="%1.%2.%3.%4."/>
      <w:lvlJc w:val="left"/>
      <w:pPr>
        <w:tabs>
          <w:tab w:val="left" w:pos="3686"/>
        </w:tabs>
        <w:ind w:left="3686" w:hanging="851"/>
      </w:pPr>
    </w:lvl>
    <w:lvl w:ilvl="4" w:tentative="0">
      <w:start w:val="1"/>
      <w:numFmt w:val="decimal"/>
      <w:lvlText w:val="%1.%2.%3.%4.%5."/>
      <w:lvlJc w:val="left"/>
      <w:pPr>
        <w:tabs>
          <w:tab w:val="left" w:pos="3827"/>
        </w:tabs>
        <w:ind w:left="3827" w:hanging="992"/>
      </w:pPr>
    </w:lvl>
    <w:lvl w:ilvl="5" w:tentative="0">
      <w:start w:val="1"/>
      <w:numFmt w:val="decimal"/>
      <w:lvlText w:val="%1.%2.%3.%4.%5.%6."/>
      <w:lvlJc w:val="left"/>
      <w:pPr>
        <w:tabs>
          <w:tab w:val="left" w:pos="3969"/>
        </w:tabs>
        <w:ind w:left="3969" w:hanging="1134"/>
      </w:pPr>
    </w:lvl>
    <w:lvl w:ilvl="6" w:tentative="0">
      <w:start w:val="1"/>
      <w:numFmt w:val="decimal"/>
      <w:lvlText w:val="%1.%2.%3.%4.%5.%6.%7."/>
      <w:lvlJc w:val="left"/>
      <w:pPr>
        <w:tabs>
          <w:tab w:val="left" w:pos="4111"/>
        </w:tabs>
        <w:ind w:left="4111" w:hanging="1276"/>
      </w:pPr>
    </w:lvl>
    <w:lvl w:ilvl="7" w:tentative="0">
      <w:start w:val="1"/>
      <w:numFmt w:val="decimal"/>
      <w:lvlText w:val="%1.%2.%3.%4.%5.%6.%7.%8."/>
      <w:lvlJc w:val="left"/>
      <w:pPr>
        <w:tabs>
          <w:tab w:val="left" w:pos="4253"/>
        </w:tabs>
        <w:ind w:left="4253" w:hanging="1418"/>
      </w:pPr>
    </w:lvl>
    <w:lvl w:ilvl="8" w:tentative="0">
      <w:start w:val="1"/>
      <w:numFmt w:val="decimal"/>
      <w:lvlText w:val="%1.%2.%3.%4.%5.%6.%7.%8.%9."/>
      <w:lvlJc w:val="left"/>
      <w:pPr>
        <w:tabs>
          <w:tab w:val="left" w:pos="4394"/>
        </w:tabs>
        <w:ind w:left="4394" w:hanging="1559"/>
      </w:pPr>
    </w:lvl>
  </w:abstractNum>
  <w:abstractNum w:abstractNumId="9">
    <w:nsid w:val="453838A3"/>
    <w:multiLevelType w:val="multilevel"/>
    <w:tmpl w:val="453838A3"/>
    <w:lvl w:ilvl="0" w:tentative="0">
      <w:start w:val="1"/>
      <w:numFmt w:val="decimal"/>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488C7282"/>
    <w:multiLevelType w:val="multilevel"/>
    <w:tmpl w:val="488C7282"/>
    <w:lvl w:ilvl="0" w:tentative="0">
      <w:start w:val="1"/>
      <w:numFmt w:val="chineseCountingThousand"/>
      <w:lvlText w:val="第%1章"/>
      <w:lvlJc w:val="left"/>
      <w:pPr>
        <w:tabs>
          <w:tab w:val="left" w:pos="1275"/>
        </w:tabs>
        <w:ind w:left="1275" w:hanging="1275"/>
      </w:pPr>
      <w:rPr>
        <w:rFonts w:hint="default" w:ascii="Arial" w:hAnsi="Arial" w:eastAsia="宋体" w:cs="Arial"/>
        <w:b/>
        <w:i w:val="0"/>
        <w:sz w:val="30"/>
        <w:szCs w:val="3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9F8224B"/>
    <w:multiLevelType w:val="multilevel"/>
    <w:tmpl w:val="69F8224B"/>
    <w:lvl w:ilvl="0" w:tentative="0">
      <w:start w:val="1"/>
      <w:numFmt w:val="decimal"/>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2">
    <w:nsid w:val="6E6F60F6"/>
    <w:multiLevelType w:val="multilevel"/>
    <w:tmpl w:val="6E6F60F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2"/>
  </w:num>
  <w:num w:numId="4">
    <w:abstractNumId w:val="7"/>
  </w:num>
  <w:num w:numId="5">
    <w:abstractNumId w:val="5"/>
  </w:num>
  <w:num w:numId="6">
    <w:abstractNumId w:val="11"/>
  </w:num>
  <w:num w:numId="7">
    <w:abstractNumId w:val="9"/>
  </w:num>
  <w:num w:numId="8">
    <w:abstractNumId w:val="0"/>
  </w:num>
  <w:num w:numId="9">
    <w:abstractNumId w:val="3"/>
  </w:num>
  <w:num w:numId="10">
    <w:abstractNumId w:val="10"/>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E8"/>
    <w:rsid w:val="000009DA"/>
    <w:rsid w:val="00012647"/>
    <w:rsid w:val="0002213E"/>
    <w:rsid w:val="0002397E"/>
    <w:rsid w:val="00025A1D"/>
    <w:rsid w:val="00073D2E"/>
    <w:rsid w:val="000768B3"/>
    <w:rsid w:val="00093A1A"/>
    <w:rsid w:val="0009686D"/>
    <w:rsid w:val="000A03F0"/>
    <w:rsid w:val="000B539F"/>
    <w:rsid w:val="000B5DA9"/>
    <w:rsid w:val="000C2B38"/>
    <w:rsid w:val="000C2E67"/>
    <w:rsid w:val="000C4BE0"/>
    <w:rsid w:val="000D26A1"/>
    <w:rsid w:val="000E1119"/>
    <w:rsid w:val="000E4EF8"/>
    <w:rsid w:val="000E697E"/>
    <w:rsid w:val="000F7003"/>
    <w:rsid w:val="00100DD4"/>
    <w:rsid w:val="00134393"/>
    <w:rsid w:val="001644D1"/>
    <w:rsid w:val="00184365"/>
    <w:rsid w:val="0019079C"/>
    <w:rsid w:val="00197769"/>
    <w:rsid w:val="001A2F13"/>
    <w:rsid w:val="001A33EF"/>
    <w:rsid w:val="001B4407"/>
    <w:rsid w:val="001D3FF2"/>
    <w:rsid w:val="001D5115"/>
    <w:rsid w:val="001E0C9B"/>
    <w:rsid w:val="001E2413"/>
    <w:rsid w:val="001E5A06"/>
    <w:rsid w:val="001F5171"/>
    <w:rsid w:val="00202D37"/>
    <w:rsid w:val="002143C4"/>
    <w:rsid w:val="002213BB"/>
    <w:rsid w:val="0023062B"/>
    <w:rsid w:val="002450FA"/>
    <w:rsid w:val="00265CDD"/>
    <w:rsid w:val="0027385C"/>
    <w:rsid w:val="00293502"/>
    <w:rsid w:val="002A26E7"/>
    <w:rsid w:val="002A374B"/>
    <w:rsid w:val="002A5AAA"/>
    <w:rsid w:val="002B59D1"/>
    <w:rsid w:val="002C3F7C"/>
    <w:rsid w:val="002C6695"/>
    <w:rsid w:val="002E537E"/>
    <w:rsid w:val="002F1760"/>
    <w:rsid w:val="002F32B0"/>
    <w:rsid w:val="002F59B3"/>
    <w:rsid w:val="00312A1C"/>
    <w:rsid w:val="00314BC3"/>
    <w:rsid w:val="003223F2"/>
    <w:rsid w:val="003437AD"/>
    <w:rsid w:val="00345C8A"/>
    <w:rsid w:val="00350A08"/>
    <w:rsid w:val="00351762"/>
    <w:rsid w:val="00354B9C"/>
    <w:rsid w:val="0038088A"/>
    <w:rsid w:val="003914CE"/>
    <w:rsid w:val="003B1803"/>
    <w:rsid w:val="003B562F"/>
    <w:rsid w:val="003C1A37"/>
    <w:rsid w:val="003C2C0C"/>
    <w:rsid w:val="003C4BDF"/>
    <w:rsid w:val="003D1077"/>
    <w:rsid w:val="003D31A4"/>
    <w:rsid w:val="003D3CBE"/>
    <w:rsid w:val="003F0F05"/>
    <w:rsid w:val="003F1BE6"/>
    <w:rsid w:val="00405380"/>
    <w:rsid w:val="00423699"/>
    <w:rsid w:val="00423DB4"/>
    <w:rsid w:val="004241F2"/>
    <w:rsid w:val="0042485D"/>
    <w:rsid w:val="00431489"/>
    <w:rsid w:val="0045271C"/>
    <w:rsid w:val="0046365E"/>
    <w:rsid w:val="0047618D"/>
    <w:rsid w:val="00483797"/>
    <w:rsid w:val="004A22A2"/>
    <w:rsid w:val="004A5B96"/>
    <w:rsid w:val="004B2E7E"/>
    <w:rsid w:val="004D46ED"/>
    <w:rsid w:val="004E1186"/>
    <w:rsid w:val="00515590"/>
    <w:rsid w:val="0052073A"/>
    <w:rsid w:val="00525D98"/>
    <w:rsid w:val="005644D1"/>
    <w:rsid w:val="005676CB"/>
    <w:rsid w:val="005A37F1"/>
    <w:rsid w:val="005A464B"/>
    <w:rsid w:val="005A46D4"/>
    <w:rsid w:val="005B4244"/>
    <w:rsid w:val="005B7B42"/>
    <w:rsid w:val="005C563B"/>
    <w:rsid w:val="005D59CA"/>
    <w:rsid w:val="00613596"/>
    <w:rsid w:val="006326BB"/>
    <w:rsid w:val="006348BA"/>
    <w:rsid w:val="00643872"/>
    <w:rsid w:val="0064457D"/>
    <w:rsid w:val="00656036"/>
    <w:rsid w:val="006614A5"/>
    <w:rsid w:val="0066624D"/>
    <w:rsid w:val="00680AC9"/>
    <w:rsid w:val="0068758C"/>
    <w:rsid w:val="006C2D63"/>
    <w:rsid w:val="006C5E99"/>
    <w:rsid w:val="006E100C"/>
    <w:rsid w:val="006E3400"/>
    <w:rsid w:val="006E7A15"/>
    <w:rsid w:val="00702C47"/>
    <w:rsid w:val="00715FC2"/>
    <w:rsid w:val="00733911"/>
    <w:rsid w:val="00743716"/>
    <w:rsid w:val="00762618"/>
    <w:rsid w:val="007840A6"/>
    <w:rsid w:val="007A5FCD"/>
    <w:rsid w:val="007B7242"/>
    <w:rsid w:val="007E0655"/>
    <w:rsid w:val="007E59B9"/>
    <w:rsid w:val="007F5AAB"/>
    <w:rsid w:val="00801E8F"/>
    <w:rsid w:val="00802CAA"/>
    <w:rsid w:val="0080532E"/>
    <w:rsid w:val="00814C96"/>
    <w:rsid w:val="00841A9D"/>
    <w:rsid w:val="008437E2"/>
    <w:rsid w:val="00845C08"/>
    <w:rsid w:val="00851DF7"/>
    <w:rsid w:val="00875394"/>
    <w:rsid w:val="00882C5C"/>
    <w:rsid w:val="00884E73"/>
    <w:rsid w:val="008928B4"/>
    <w:rsid w:val="008B6A6C"/>
    <w:rsid w:val="008D7406"/>
    <w:rsid w:val="008E58C5"/>
    <w:rsid w:val="008E60EC"/>
    <w:rsid w:val="008F124B"/>
    <w:rsid w:val="008F66B4"/>
    <w:rsid w:val="00907DCF"/>
    <w:rsid w:val="009273FA"/>
    <w:rsid w:val="009351FD"/>
    <w:rsid w:val="009379D2"/>
    <w:rsid w:val="00937B4C"/>
    <w:rsid w:val="00941E67"/>
    <w:rsid w:val="0095146A"/>
    <w:rsid w:val="00952B81"/>
    <w:rsid w:val="00954AA4"/>
    <w:rsid w:val="0095552B"/>
    <w:rsid w:val="00984F2E"/>
    <w:rsid w:val="00985021"/>
    <w:rsid w:val="009A4BC6"/>
    <w:rsid w:val="009B10AC"/>
    <w:rsid w:val="009B5329"/>
    <w:rsid w:val="009B72DB"/>
    <w:rsid w:val="009C1284"/>
    <w:rsid w:val="009D2F05"/>
    <w:rsid w:val="009E184C"/>
    <w:rsid w:val="009E3C52"/>
    <w:rsid w:val="009E7D7D"/>
    <w:rsid w:val="009F27F3"/>
    <w:rsid w:val="009F4977"/>
    <w:rsid w:val="00A12D62"/>
    <w:rsid w:val="00A2032E"/>
    <w:rsid w:val="00A245EF"/>
    <w:rsid w:val="00A254A7"/>
    <w:rsid w:val="00A270B6"/>
    <w:rsid w:val="00A44444"/>
    <w:rsid w:val="00A60B63"/>
    <w:rsid w:val="00A61254"/>
    <w:rsid w:val="00A67B93"/>
    <w:rsid w:val="00A86641"/>
    <w:rsid w:val="00A950B0"/>
    <w:rsid w:val="00AA2B49"/>
    <w:rsid w:val="00AA73F1"/>
    <w:rsid w:val="00AB5C6D"/>
    <w:rsid w:val="00AC38EF"/>
    <w:rsid w:val="00AC5583"/>
    <w:rsid w:val="00AD75E0"/>
    <w:rsid w:val="00B07E33"/>
    <w:rsid w:val="00B10312"/>
    <w:rsid w:val="00B14B47"/>
    <w:rsid w:val="00B24628"/>
    <w:rsid w:val="00B40765"/>
    <w:rsid w:val="00B43359"/>
    <w:rsid w:val="00B459C0"/>
    <w:rsid w:val="00B51F7F"/>
    <w:rsid w:val="00B57BB1"/>
    <w:rsid w:val="00B621CF"/>
    <w:rsid w:val="00B64592"/>
    <w:rsid w:val="00B64BDB"/>
    <w:rsid w:val="00B65FB1"/>
    <w:rsid w:val="00B73CE0"/>
    <w:rsid w:val="00B7457B"/>
    <w:rsid w:val="00B86AD9"/>
    <w:rsid w:val="00B928BC"/>
    <w:rsid w:val="00B95132"/>
    <w:rsid w:val="00BB603E"/>
    <w:rsid w:val="00BB7AB4"/>
    <w:rsid w:val="00BC0930"/>
    <w:rsid w:val="00BC11A5"/>
    <w:rsid w:val="00BC2ECF"/>
    <w:rsid w:val="00BC633E"/>
    <w:rsid w:val="00BD1F6E"/>
    <w:rsid w:val="00BD31CF"/>
    <w:rsid w:val="00BD423D"/>
    <w:rsid w:val="00BD7AC7"/>
    <w:rsid w:val="00BE08C8"/>
    <w:rsid w:val="00BE2732"/>
    <w:rsid w:val="00BF32D2"/>
    <w:rsid w:val="00C02478"/>
    <w:rsid w:val="00C0283D"/>
    <w:rsid w:val="00C0292B"/>
    <w:rsid w:val="00C11C18"/>
    <w:rsid w:val="00C308A5"/>
    <w:rsid w:val="00C36025"/>
    <w:rsid w:val="00C40E51"/>
    <w:rsid w:val="00C41204"/>
    <w:rsid w:val="00C4558F"/>
    <w:rsid w:val="00C653D1"/>
    <w:rsid w:val="00C74A95"/>
    <w:rsid w:val="00C757F3"/>
    <w:rsid w:val="00C849A8"/>
    <w:rsid w:val="00C86C47"/>
    <w:rsid w:val="00C96EFA"/>
    <w:rsid w:val="00CC77F8"/>
    <w:rsid w:val="00CD2C33"/>
    <w:rsid w:val="00CF02AF"/>
    <w:rsid w:val="00CF448A"/>
    <w:rsid w:val="00CF5835"/>
    <w:rsid w:val="00D0069D"/>
    <w:rsid w:val="00D00F2C"/>
    <w:rsid w:val="00D25AC7"/>
    <w:rsid w:val="00D37CC6"/>
    <w:rsid w:val="00D52823"/>
    <w:rsid w:val="00D65F3A"/>
    <w:rsid w:val="00D675A0"/>
    <w:rsid w:val="00D722F9"/>
    <w:rsid w:val="00D75FE7"/>
    <w:rsid w:val="00D76A86"/>
    <w:rsid w:val="00D86698"/>
    <w:rsid w:val="00DB0166"/>
    <w:rsid w:val="00DB084F"/>
    <w:rsid w:val="00DC38D3"/>
    <w:rsid w:val="00DD6D07"/>
    <w:rsid w:val="00DE6AE1"/>
    <w:rsid w:val="00DF0EE4"/>
    <w:rsid w:val="00DF1AFC"/>
    <w:rsid w:val="00DF5ECB"/>
    <w:rsid w:val="00E10372"/>
    <w:rsid w:val="00E36554"/>
    <w:rsid w:val="00E40CCE"/>
    <w:rsid w:val="00E45D0C"/>
    <w:rsid w:val="00E64FA3"/>
    <w:rsid w:val="00E6616B"/>
    <w:rsid w:val="00E95C7C"/>
    <w:rsid w:val="00E962A5"/>
    <w:rsid w:val="00E96F5B"/>
    <w:rsid w:val="00EA3723"/>
    <w:rsid w:val="00EB632D"/>
    <w:rsid w:val="00EB6B0B"/>
    <w:rsid w:val="00EB770D"/>
    <w:rsid w:val="00ED3708"/>
    <w:rsid w:val="00ED676B"/>
    <w:rsid w:val="00EF000D"/>
    <w:rsid w:val="00F00A88"/>
    <w:rsid w:val="00F024CD"/>
    <w:rsid w:val="00F07831"/>
    <w:rsid w:val="00F11F51"/>
    <w:rsid w:val="00F149B0"/>
    <w:rsid w:val="00F203E0"/>
    <w:rsid w:val="00F4344C"/>
    <w:rsid w:val="00F4701D"/>
    <w:rsid w:val="00F4708B"/>
    <w:rsid w:val="00F51909"/>
    <w:rsid w:val="00F53484"/>
    <w:rsid w:val="00F536E8"/>
    <w:rsid w:val="00F5481C"/>
    <w:rsid w:val="00F75B7B"/>
    <w:rsid w:val="00F83403"/>
    <w:rsid w:val="00F8666E"/>
    <w:rsid w:val="00F92DD8"/>
    <w:rsid w:val="00F979CF"/>
    <w:rsid w:val="00FA0119"/>
    <w:rsid w:val="00FA0DC0"/>
    <w:rsid w:val="00FA67E8"/>
    <w:rsid w:val="00FC060A"/>
    <w:rsid w:val="00FC550E"/>
    <w:rsid w:val="00FD3CB6"/>
    <w:rsid w:val="00FD5238"/>
    <w:rsid w:val="00FE1078"/>
    <w:rsid w:val="01014D85"/>
    <w:rsid w:val="018023D9"/>
    <w:rsid w:val="02155AA1"/>
    <w:rsid w:val="03232FCD"/>
    <w:rsid w:val="04712B56"/>
    <w:rsid w:val="05DB5545"/>
    <w:rsid w:val="063F1376"/>
    <w:rsid w:val="065039BC"/>
    <w:rsid w:val="06764569"/>
    <w:rsid w:val="06E27D45"/>
    <w:rsid w:val="0B2445C3"/>
    <w:rsid w:val="0BDC10F7"/>
    <w:rsid w:val="0CA460B1"/>
    <w:rsid w:val="109513DB"/>
    <w:rsid w:val="10C95768"/>
    <w:rsid w:val="11B24981"/>
    <w:rsid w:val="139204A8"/>
    <w:rsid w:val="139F50FA"/>
    <w:rsid w:val="14B66C31"/>
    <w:rsid w:val="162D6DC5"/>
    <w:rsid w:val="18E022E4"/>
    <w:rsid w:val="19100405"/>
    <w:rsid w:val="192D35B6"/>
    <w:rsid w:val="19F602DB"/>
    <w:rsid w:val="1B5B3AB0"/>
    <w:rsid w:val="1CAB3126"/>
    <w:rsid w:val="1DAA6A13"/>
    <w:rsid w:val="1F221253"/>
    <w:rsid w:val="1F5A076E"/>
    <w:rsid w:val="1FA36A94"/>
    <w:rsid w:val="20A84A4A"/>
    <w:rsid w:val="212C556D"/>
    <w:rsid w:val="2166598B"/>
    <w:rsid w:val="234F72F6"/>
    <w:rsid w:val="23CA4159"/>
    <w:rsid w:val="24232D2B"/>
    <w:rsid w:val="24370185"/>
    <w:rsid w:val="27006D23"/>
    <w:rsid w:val="284139BF"/>
    <w:rsid w:val="2901085D"/>
    <w:rsid w:val="293914EA"/>
    <w:rsid w:val="2B11486D"/>
    <w:rsid w:val="2B3722CD"/>
    <w:rsid w:val="2B494395"/>
    <w:rsid w:val="2CAE70C8"/>
    <w:rsid w:val="2CF92C63"/>
    <w:rsid w:val="2F1B2A8E"/>
    <w:rsid w:val="2FBD7EFB"/>
    <w:rsid w:val="32197241"/>
    <w:rsid w:val="3262422B"/>
    <w:rsid w:val="33E67DEA"/>
    <w:rsid w:val="37901786"/>
    <w:rsid w:val="3841694B"/>
    <w:rsid w:val="38533EC0"/>
    <w:rsid w:val="386B5D85"/>
    <w:rsid w:val="38867D9B"/>
    <w:rsid w:val="39546820"/>
    <w:rsid w:val="3C327460"/>
    <w:rsid w:val="3C4E0BC0"/>
    <w:rsid w:val="3D482EE1"/>
    <w:rsid w:val="3D5A550F"/>
    <w:rsid w:val="3D8E5A13"/>
    <w:rsid w:val="3DCA475F"/>
    <w:rsid w:val="3DCD6BAD"/>
    <w:rsid w:val="3DE20215"/>
    <w:rsid w:val="3E4A5E02"/>
    <w:rsid w:val="3E73309A"/>
    <w:rsid w:val="3EDA752B"/>
    <w:rsid w:val="3EEA686A"/>
    <w:rsid w:val="3F35019C"/>
    <w:rsid w:val="40693106"/>
    <w:rsid w:val="4185040E"/>
    <w:rsid w:val="41A93BEC"/>
    <w:rsid w:val="42BA4C6E"/>
    <w:rsid w:val="43895549"/>
    <w:rsid w:val="45073875"/>
    <w:rsid w:val="45E54C13"/>
    <w:rsid w:val="45E92118"/>
    <w:rsid w:val="47C252EA"/>
    <w:rsid w:val="49044786"/>
    <w:rsid w:val="496459E5"/>
    <w:rsid w:val="49D625CD"/>
    <w:rsid w:val="4D9430CA"/>
    <w:rsid w:val="50C26ACB"/>
    <w:rsid w:val="50FF3200"/>
    <w:rsid w:val="523223EE"/>
    <w:rsid w:val="53913D4A"/>
    <w:rsid w:val="54A60132"/>
    <w:rsid w:val="563608FD"/>
    <w:rsid w:val="563B7AC1"/>
    <w:rsid w:val="57306EA2"/>
    <w:rsid w:val="58B217E6"/>
    <w:rsid w:val="5B520C3D"/>
    <w:rsid w:val="5B887ECC"/>
    <w:rsid w:val="5D0876E3"/>
    <w:rsid w:val="5E0C2239"/>
    <w:rsid w:val="5F6518D8"/>
    <w:rsid w:val="60E33377"/>
    <w:rsid w:val="60F07FE8"/>
    <w:rsid w:val="61B5361C"/>
    <w:rsid w:val="62D94FD5"/>
    <w:rsid w:val="632573AB"/>
    <w:rsid w:val="63A97B46"/>
    <w:rsid w:val="64E05F60"/>
    <w:rsid w:val="65306218"/>
    <w:rsid w:val="67A13F4F"/>
    <w:rsid w:val="686A65B9"/>
    <w:rsid w:val="6B6F6409"/>
    <w:rsid w:val="6BD34915"/>
    <w:rsid w:val="6BF4467C"/>
    <w:rsid w:val="6C431301"/>
    <w:rsid w:val="6CA11DC9"/>
    <w:rsid w:val="6CF01972"/>
    <w:rsid w:val="6D593C88"/>
    <w:rsid w:val="6DEB3AEB"/>
    <w:rsid w:val="6F475F41"/>
    <w:rsid w:val="70E12606"/>
    <w:rsid w:val="72566C38"/>
    <w:rsid w:val="72CB3701"/>
    <w:rsid w:val="735B451B"/>
    <w:rsid w:val="73B8291B"/>
    <w:rsid w:val="74632873"/>
    <w:rsid w:val="760B7191"/>
    <w:rsid w:val="763C1184"/>
    <w:rsid w:val="76C749F1"/>
    <w:rsid w:val="76E43CAB"/>
    <w:rsid w:val="780F538B"/>
    <w:rsid w:val="7C2E27BF"/>
    <w:rsid w:val="7C4B1AFF"/>
    <w:rsid w:val="7DF05235"/>
    <w:rsid w:val="7E535A71"/>
    <w:rsid w:val="7E7D7E50"/>
    <w:rsid w:val="7EED1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156" w:beforeLines="50" w:after="156" w:afterLines="50" w:line="520" w:lineRule="exact"/>
      <w:jc w:val="center"/>
      <w:outlineLvl w:val="0"/>
    </w:pPr>
    <w:rPr>
      <w:rFonts w:asciiTheme="majorHAnsi" w:hAnsiTheme="majorHAnsi"/>
      <w:b/>
      <w:bCs/>
      <w:kern w:val="44"/>
      <w:sz w:val="44"/>
      <w:szCs w:val="44"/>
    </w:rPr>
  </w:style>
  <w:style w:type="paragraph" w:styleId="3">
    <w:name w:val="heading 2"/>
    <w:basedOn w:val="1"/>
    <w:next w:val="1"/>
    <w:link w:val="36"/>
    <w:unhideWhenUsed/>
    <w:qFormat/>
    <w:uiPriority w:val="0"/>
    <w:pPr>
      <w:keepNext/>
      <w:keepLines/>
      <w:numPr>
        <w:ilvl w:val="1"/>
        <w:numId w:val="1"/>
      </w:numPr>
      <w:spacing w:before="50" w:beforeLines="50" w:after="50" w:afterLines="50" w:line="360" w:lineRule="auto"/>
      <w:outlineLvl w:val="1"/>
    </w:pPr>
    <w:rPr>
      <w:rFonts w:asciiTheme="majorHAnsi" w:hAnsiTheme="majorHAnsi" w:eastAsiaTheme="majorEastAsia" w:cstheme="majorBidi"/>
      <w:b/>
      <w:bCs/>
      <w:sz w:val="36"/>
      <w:szCs w:val="32"/>
    </w:rPr>
  </w:style>
  <w:style w:type="paragraph" w:styleId="4">
    <w:name w:val="heading 3"/>
    <w:basedOn w:val="1"/>
    <w:next w:val="1"/>
    <w:link w:val="37"/>
    <w:unhideWhenUsed/>
    <w:qFormat/>
    <w:uiPriority w:val="0"/>
    <w:pPr>
      <w:keepNext/>
      <w:keepLines/>
      <w:numPr>
        <w:ilvl w:val="2"/>
        <w:numId w:val="1"/>
      </w:numPr>
      <w:spacing w:before="50" w:beforeLines="50" w:after="50" w:afterLines="50" w:line="360" w:lineRule="auto"/>
      <w:outlineLvl w:val="2"/>
    </w:pPr>
    <w:rPr>
      <w:rFonts w:asciiTheme="majorHAnsi" w:hAnsiTheme="majorHAnsi"/>
      <w:b/>
      <w:bCs/>
      <w:sz w:val="32"/>
      <w:szCs w:val="32"/>
    </w:rPr>
  </w:style>
  <w:style w:type="paragraph" w:styleId="5">
    <w:name w:val="heading 4"/>
    <w:basedOn w:val="1"/>
    <w:next w:val="1"/>
    <w:link w:val="38"/>
    <w:unhideWhenUsed/>
    <w:qFormat/>
    <w:uiPriority w:val="0"/>
    <w:pPr>
      <w:keepNext/>
      <w:keepLines/>
      <w:spacing w:before="50" w:beforeLines="50" w:after="50" w:afterLines="50" w:line="360" w:lineRule="auto"/>
      <w:outlineLvl w:val="3"/>
    </w:pPr>
    <w:rPr>
      <w:rFonts w:asciiTheme="majorHAnsi" w:hAnsiTheme="majorHAnsi" w:eastAsiaTheme="majorEastAsia" w:cstheme="majorBidi"/>
      <w:b/>
      <w:bCs/>
      <w:sz w:val="30"/>
      <w:szCs w:val="28"/>
    </w:rPr>
  </w:style>
  <w:style w:type="paragraph" w:styleId="6">
    <w:name w:val="heading 5"/>
    <w:basedOn w:val="1"/>
    <w:next w:val="1"/>
    <w:link w:val="39"/>
    <w:unhideWhenUsed/>
    <w:qFormat/>
    <w:uiPriority w:val="9"/>
    <w:pPr>
      <w:keepNext/>
      <w:keepLines/>
      <w:spacing w:before="156" w:beforeLines="50" w:after="156" w:afterLines="50" w:line="360" w:lineRule="auto"/>
      <w:outlineLvl w:val="4"/>
    </w:pPr>
    <w:rPr>
      <w:rFonts w:asciiTheme="majorHAnsi" w:hAnsiTheme="majorHAnsi"/>
      <w:b/>
      <w:bCs/>
      <w:sz w:val="28"/>
      <w:szCs w:val="28"/>
    </w:rPr>
  </w:style>
  <w:style w:type="paragraph" w:styleId="7">
    <w:name w:val="heading 6"/>
    <w:basedOn w:val="1"/>
    <w:next w:val="1"/>
    <w:link w:val="40"/>
    <w:unhideWhenUsed/>
    <w:qFormat/>
    <w:uiPriority w:val="9"/>
    <w:pPr>
      <w:keepNext/>
      <w:keepLines/>
      <w:numPr>
        <w:ilvl w:val="5"/>
        <w:numId w:val="1"/>
      </w:numPr>
      <w:spacing w:before="50" w:beforeLines="50" w:after="50" w:afterLines="50" w:line="360" w:lineRule="auto"/>
      <w:outlineLvl w:val="5"/>
    </w:pPr>
    <w:rPr>
      <w:rFonts w:asciiTheme="majorHAnsi" w:hAnsiTheme="majorHAnsi" w:eastAsiaTheme="majorEastAsia" w:cstheme="majorBidi"/>
      <w:b/>
      <w:bCs/>
      <w:sz w:val="24"/>
    </w:rPr>
  </w:style>
  <w:style w:type="paragraph" w:styleId="8">
    <w:name w:val="heading 7"/>
    <w:basedOn w:val="1"/>
    <w:next w:val="1"/>
    <w:link w:val="42"/>
    <w:unhideWhenUsed/>
    <w:qFormat/>
    <w:uiPriority w:val="9"/>
    <w:pPr>
      <w:keepNext/>
      <w:keepLines/>
      <w:numPr>
        <w:ilvl w:val="6"/>
        <w:numId w:val="1"/>
      </w:numPr>
      <w:spacing w:before="50" w:beforeLines="50" w:after="50" w:afterLines="50" w:line="360" w:lineRule="auto"/>
      <w:outlineLvl w:val="6"/>
    </w:pPr>
    <w:rPr>
      <w:rFonts w:asciiTheme="majorHAnsi" w:hAnsiTheme="majorHAnsi"/>
      <w:b/>
      <w:bCs/>
      <w:sz w:val="24"/>
    </w:rPr>
  </w:style>
  <w:style w:type="paragraph" w:styleId="9">
    <w:name w:val="heading 8"/>
    <w:basedOn w:val="1"/>
    <w:next w:val="1"/>
    <w:link w:val="43"/>
    <w:unhideWhenUsed/>
    <w:qFormat/>
    <w:uiPriority w:val="9"/>
    <w:pPr>
      <w:keepNext/>
      <w:keepLines/>
      <w:numPr>
        <w:ilvl w:val="7"/>
        <w:numId w:val="1"/>
      </w:numPr>
      <w:spacing w:before="50" w:beforeLines="50" w:after="50" w:afterLines="50" w:line="360" w:lineRule="auto"/>
      <w:outlineLvl w:val="7"/>
    </w:pPr>
    <w:rPr>
      <w:rFonts w:asciiTheme="majorHAnsi" w:hAnsiTheme="majorHAnsi" w:eastAsiaTheme="majorEastAsia" w:cstheme="majorBidi"/>
      <w:b/>
      <w:sz w:val="24"/>
    </w:rPr>
  </w:style>
  <w:style w:type="paragraph" w:styleId="10">
    <w:name w:val="heading 9"/>
    <w:basedOn w:val="1"/>
    <w:next w:val="1"/>
    <w:link w:val="41"/>
    <w:unhideWhenUsed/>
    <w:qFormat/>
    <w:uiPriority w:val="9"/>
    <w:pPr>
      <w:keepNext/>
      <w:keepLines/>
      <w:numPr>
        <w:ilvl w:val="8"/>
        <w:numId w:val="1"/>
      </w:numPr>
      <w:spacing w:before="50" w:beforeLines="50" w:after="50" w:afterLines="50" w:line="360" w:lineRule="auto"/>
      <w:outlineLvl w:val="8"/>
    </w:pPr>
    <w:rPr>
      <w:rFonts w:asciiTheme="majorHAnsi" w:hAnsiTheme="majorHAnsi" w:eastAsiaTheme="majorEastAsia" w:cstheme="majorBidi"/>
      <w:b/>
      <w:sz w:val="24"/>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71"/>
    <w:qFormat/>
    <w:uiPriority w:val="0"/>
    <w:pPr>
      <w:autoSpaceDE w:val="0"/>
      <w:autoSpaceDN w:val="0"/>
      <w:spacing w:line="360" w:lineRule="auto"/>
      <w:ind w:left="181" w:firstLine="420"/>
    </w:pPr>
    <w:rPr>
      <w:rFonts w:asciiTheme="minorHAnsi" w:hAnsiTheme="minorHAnsi" w:eastAsiaTheme="minorEastAsia" w:cstheme="minorBidi"/>
      <w:sz w:val="24"/>
      <w:szCs w:val="22"/>
    </w:rPr>
  </w:style>
  <w:style w:type="paragraph" w:styleId="12">
    <w:name w:val="Document Map"/>
    <w:basedOn w:val="1"/>
    <w:link w:val="75"/>
    <w:qFormat/>
    <w:uiPriority w:val="0"/>
    <w:rPr>
      <w:rFonts w:ascii="宋体" w:hAnsiTheme="minorHAnsi" w:eastAsiaTheme="minorEastAsia" w:cstheme="minorBidi"/>
      <w:sz w:val="18"/>
      <w:szCs w:val="18"/>
    </w:rPr>
  </w:style>
  <w:style w:type="paragraph" w:styleId="13">
    <w:name w:val="annotation text"/>
    <w:basedOn w:val="1"/>
    <w:link w:val="53"/>
    <w:qFormat/>
    <w:uiPriority w:val="99"/>
    <w:pPr>
      <w:jc w:val="left"/>
    </w:pPr>
    <w:rPr>
      <w:rFonts w:asciiTheme="minorHAnsi" w:hAnsiTheme="minorHAnsi" w:eastAsiaTheme="minorEastAsia" w:cstheme="minorBidi"/>
    </w:rPr>
  </w:style>
  <w:style w:type="paragraph" w:styleId="14">
    <w:name w:val="Body Text"/>
    <w:basedOn w:val="1"/>
    <w:link w:val="94"/>
    <w:qFormat/>
    <w:uiPriority w:val="0"/>
    <w:pPr>
      <w:spacing w:after="120"/>
    </w:pPr>
    <w:rPr>
      <w:rFonts w:asciiTheme="minorHAnsi" w:hAnsiTheme="minorHAnsi" w:eastAsiaTheme="minorEastAsia" w:cstheme="minorBidi"/>
    </w:rPr>
  </w:style>
  <w:style w:type="paragraph" w:styleId="15">
    <w:name w:val="toc 3"/>
    <w:basedOn w:val="1"/>
    <w:next w:val="1"/>
    <w:qFormat/>
    <w:uiPriority w:val="39"/>
    <w:pPr>
      <w:ind w:left="840" w:leftChars="400"/>
    </w:pPr>
  </w:style>
  <w:style w:type="paragraph" w:styleId="16">
    <w:name w:val="Plain Text"/>
    <w:basedOn w:val="1"/>
    <w:link w:val="100"/>
    <w:qFormat/>
    <w:uiPriority w:val="0"/>
    <w:rPr>
      <w:rFonts w:ascii="宋体" w:hAnsi="Courier New" w:cs="Courier New" w:eastAsiaTheme="minorEastAsia"/>
      <w:szCs w:val="21"/>
    </w:rPr>
  </w:style>
  <w:style w:type="paragraph" w:styleId="17">
    <w:name w:val="Balloon Text"/>
    <w:basedOn w:val="1"/>
    <w:link w:val="49"/>
    <w:semiHidden/>
    <w:unhideWhenUsed/>
    <w:qFormat/>
    <w:uiPriority w:val="0"/>
    <w:rPr>
      <w:sz w:val="18"/>
      <w:szCs w:val="18"/>
    </w:rPr>
  </w:style>
  <w:style w:type="paragraph" w:styleId="18">
    <w:name w:val="footer"/>
    <w:basedOn w:val="1"/>
    <w:link w:val="45"/>
    <w:unhideWhenUsed/>
    <w:qFormat/>
    <w:uiPriority w:val="99"/>
    <w:pPr>
      <w:tabs>
        <w:tab w:val="center" w:pos="4153"/>
        <w:tab w:val="right" w:pos="8306"/>
      </w:tabs>
      <w:snapToGrid w:val="0"/>
      <w:jc w:val="left"/>
    </w:pPr>
    <w:rPr>
      <w:sz w:val="18"/>
      <w:szCs w:val="18"/>
    </w:rPr>
  </w:style>
  <w:style w:type="paragraph" w:styleId="19">
    <w:name w:val="header"/>
    <w:basedOn w:val="1"/>
    <w:link w:val="44"/>
    <w:unhideWhenUsed/>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right" w:leader="dot" w:pos="9402"/>
      </w:tabs>
      <w:spacing w:line="480" w:lineRule="auto"/>
      <w:jc w:val="left"/>
    </w:pPr>
  </w:style>
  <w:style w:type="paragraph" w:styleId="21">
    <w:name w:val="toc 2"/>
    <w:basedOn w:val="1"/>
    <w:next w:val="1"/>
    <w:qFormat/>
    <w:uiPriority w:val="39"/>
    <w:pPr>
      <w:ind w:left="420" w:leftChars="200"/>
    </w:pPr>
  </w:style>
  <w:style w:type="paragraph" w:styleId="22">
    <w:name w:val="HTML Preformatted"/>
    <w:basedOn w:val="1"/>
    <w:link w:val="1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3">
    <w:name w:val="Normal (Web)"/>
    <w:basedOn w:val="1"/>
    <w:qFormat/>
    <w:uiPriority w:val="99"/>
    <w:pPr>
      <w:spacing w:beforeAutospacing="1" w:afterAutospacing="1"/>
      <w:jc w:val="left"/>
    </w:pPr>
    <w:rPr>
      <w:rFonts w:ascii="Calibri" w:hAnsi="Calibri"/>
      <w:kern w:val="0"/>
      <w:sz w:val="24"/>
    </w:rPr>
  </w:style>
  <w:style w:type="paragraph" w:styleId="24">
    <w:name w:val="index 1"/>
    <w:basedOn w:val="1"/>
    <w:next w:val="1"/>
    <w:qFormat/>
    <w:uiPriority w:val="0"/>
  </w:style>
  <w:style w:type="paragraph" w:styleId="25">
    <w:name w:val="Title"/>
    <w:basedOn w:val="1"/>
    <w:next w:val="1"/>
    <w:link w:val="54"/>
    <w:qFormat/>
    <w:uiPriority w:val="0"/>
    <w:pPr>
      <w:spacing w:before="240" w:after="60"/>
      <w:jc w:val="center"/>
      <w:outlineLvl w:val="0"/>
    </w:pPr>
    <w:rPr>
      <w:rFonts w:ascii="Cambria" w:hAnsi="Cambria" w:eastAsiaTheme="minorEastAsia"/>
      <w:b/>
      <w:bCs/>
      <w:sz w:val="32"/>
      <w:szCs w:val="32"/>
    </w:rPr>
  </w:style>
  <w:style w:type="paragraph" w:styleId="26">
    <w:name w:val="annotation subject"/>
    <w:basedOn w:val="13"/>
    <w:next w:val="13"/>
    <w:link w:val="107"/>
    <w:semiHidden/>
    <w:qFormat/>
    <w:uiPriority w:val="0"/>
    <w:rPr>
      <w:rFonts w:ascii="Times New Roman" w:hAnsi="Times New Roman" w:eastAsia="宋体" w:cs="Times New Roman"/>
      <w:b/>
      <w:bCs/>
      <w:lang w:val="zh-CN"/>
    </w:rPr>
  </w:style>
  <w:style w:type="table" w:styleId="28">
    <w:name w:val="Table Grid"/>
    <w:basedOn w:val="2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99"/>
    <w:rPr>
      <w:rFonts w:cs="Times New Roman"/>
      <w:b/>
    </w:rPr>
  </w:style>
  <w:style w:type="character" w:styleId="31">
    <w:name w:val="page number"/>
    <w:basedOn w:val="29"/>
    <w:qFormat/>
    <w:uiPriority w:val="0"/>
  </w:style>
  <w:style w:type="character" w:styleId="32">
    <w:name w:val="Emphasis"/>
    <w:qFormat/>
    <w:uiPriority w:val="0"/>
    <w:rPr>
      <w:i/>
      <w:iCs/>
    </w:rPr>
  </w:style>
  <w:style w:type="character" w:styleId="33">
    <w:name w:val="Hyperlink"/>
    <w:qFormat/>
    <w:uiPriority w:val="99"/>
    <w:rPr>
      <w:color w:val="2D64B3"/>
      <w:u w:val="none"/>
    </w:rPr>
  </w:style>
  <w:style w:type="character" w:styleId="34">
    <w:name w:val="annotation reference"/>
    <w:qFormat/>
    <w:uiPriority w:val="0"/>
    <w:rPr>
      <w:sz w:val="21"/>
      <w:szCs w:val="21"/>
    </w:rPr>
  </w:style>
  <w:style w:type="character" w:customStyle="1" w:styleId="35">
    <w:name w:val="标题 1 字符"/>
    <w:basedOn w:val="29"/>
    <w:link w:val="2"/>
    <w:qFormat/>
    <w:uiPriority w:val="0"/>
    <w:rPr>
      <w:rFonts w:eastAsia="宋体" w:cs="Times New Roman" w:asciiTheme="majorHAnsi" w:hAnsiTheme="majorHAnsi"/>
      <w:b/>
      <w:bCs/>
      <w:kern w:val="44"/>
      <w:sz w:val="44"/>
      <w:szCs w:val="44"/>
    </w:rPr>
  </w:style>
  <w:style w:type="character" w:customStyle="1" w:styleId="36">
    <w:name w:val="标题 2 字符"/>
    <w:basedOn w:val="29"/>
    <w:link w:val="3"/>
    <w:qFormat/>
    <w:uiPriority w:val="0"/>
    <w:rPr>
      <w:rFonts w:asciiTheme="majorHAnsi" w:hAnsiTheme="majorHAnsi" w:eastAsiaTheme="majorEastAsia" w:cstheme="majorBidi"/>
      <w:b/>
      <w:bCs/>
      <w:sz w:val="36"/>
      <w:szCs w:val="32"/>
    </w:rPr>
  </w:style>
  <w:style w:type="character" w:customStyle="1" w:styleId="37">
    <w:name w:val="标题 3 字符"/>
    <w:basedOn w:val="29"/>
    <w:link w:val="4"/>
    <w:qFormat/>
    <w:uiPriority w:val="0"/>
    <w:rPr>
      <w:rFonts w:eastAsia="宋体" w:cs="Times New Roman" w:asciiTheme="majorHAnsi" w:hAnsiTheme="majorHAnsi"/>
      <w:b/>
      <w:bCs/>
      <w:sz w:val="32"/>
      <w:szCs w:val="32"/>
    </w:rPr>
  </w:style>
  <w:style w:type="character" w:customStyle="1" w:styleId="38">
    <w:name w:val="标题 4 字符"/>
    <w:basedOn w:val="29"/>
    <w:link w:val="5"/>
    <w:qFormat/>
    <w:uiPriority w:val="9"/>
    <w:rPr>
      <w:rFonts w:asciiTheme="majorHAnsi" w:hAnsiTheme="majorHAnsi" w:eastAsiaTheme="majorEastAsia" w:cstheme="majorBidi"/>
      <w:b/>
      <w:bCs/>
      <w:sz w:val="30"/>
      <w:szCs w:val="28"/>
    </w:rPr>
  </w:style>
  <w:style w:type="character" w:customStyle="1" w:styleId="39">
    <w:name w:val="标题 5 字符"/>
    <w:basedOn w:val="29"/>
    <w:link w:val="6"/>
    <w:qFormat/>
    <w:uiPriority w:val="9"/>
    <w:rPr>
      <w:rFonts w:eastAsia="宋体" w:cs="Times New Roman" w:asciiTheme="majorHAnsi" w:hAnsiTheme="majorHAnsi"/>
      <w:b/>
      <w:bCs/>
      <w:sz w:val="28"/>
      <w:szCs w:val="28"/>
    </w:rPr>
  </w:style>
  <w:style w:type="character" w:customStyle="1" w:styleId="40">
    <w:name w:val="标题 6 字符"/>
    <w:basedOn w:val="29"/>
    <w:link w:val="7"/>
    <w:qFormat/>
    <w:uiPriority w:val="9"/>
    <w:rPr>
      <w:rFonts w:asciiTheme="majorHAnsi" w:hAnsiTheme="majorHAnsi" w:eastAsiaTheme="majorEastAsia" w:cstheme="majorBidi"/>
      <w:b/>
      <w:bCs/>
      <w:sz w:val="24"/>
      <w:szCs w:val="24"/>
    </w:rPr>
  </w:style>
  <w:style w:type="character" w:customStyle="1" w:styleId="41">
    <w:name w:val="标题 9 字符"/>
    <w:basedOn w:val="29"/>
    <w:link w:val="10"/>
    <w:qFormat/>
    <w:uiPriority w:val="9"/>
    <w:rPr>
      <w:rFonts w:asciiTheme="majorHAnsi" w:hAnsiTheme="majorHAnsi" w:eastAsiaTheme="majorEastAsia" w:cstheme="majorBidi"/>
      <w:b/>
      <w:sz w:val="24"/>
      <w:szCs w:val="21"/>
    </w:rPr>
  </w:style>
  <w:style w:type="character" w:customStyle="1" w:styleId="42">
    <w:name w:val="标题 7 字符"/>
    <w:basedOn w:val="29"/>
    <w:link w:val="8"/>
    <w:qFormat/>
    <w:uiPriority w:val="9"/>
    <w:rPr>
      <w:rFonts w:eastAsia="宋体" w:cs="Times New Roman" w:asciiTheme="majorHAnsi" w:hAnsiTheme="majorHAnsi"/>
      <w:b/>
      <w:bCs/>
      <w:sz w:val="24"/>
      <w:szCs w:val="24"/>
    </w:rPr>
  </w:style>
  <w:style w:type="character" w:customStyle="1" w:styleId="43">
    <w:name w:val="标题 8 字符"/>
    <w:basedOn w:val="29"/>
    <w:link w:val="9"/>
    <w:qFormat/>
    <w:uiPriority w:val="9"/>
    <w:rPr>
      <w:rFonts w:asciiTheme="majorHAnsi" w:hAnsiTheme="majorHAnsi" w:eastAsiaTheme="majorEastAsia" w:cstheme="majorBidi"/>
      <w:b/>
      <w:sz w:val="24"/>
      <w:szCs w:val="24"/>
    </w:rPr>
  </w:style>
  <w:style w:type="character" w:customStyle="1" w:styleId="44">
    <w:name w:val="页眉 字符"/>
    <w:basedOn w:val="29"/>
    <w:link w:val="19"/>
    <w:qFormat/>
    <w:uiPriority w:val="0"/>
    <w:rPr>
      <w:sz w:val="18"/>
      <w:szCs w:val="18"/>
    </w:rPr>
  </w:style>
  <w:style w:type="character" w:customStyle="1" w:styleId="45">
    <w:name w:val="页脚 字符"/>
    <w:basedOn w:val="29"/>
    <w:link w:val="18"/>
    <w:qFormat/>
    <w:uiPriority w:val="99"/>
    <w:rPr>
      <w:sz w:val="18"/>
      <w:szCs w:val="18"/>
    </w:rPr>
  </w:style>
  <w:style w:type="character" w:customStyle="1" w:styleId="46">
    <w:name w:val="段 Char"/>
    <w:link w:val="47"/>
    <w:qFormat/>
    <w:uiPriority w:val="0"/>
    <w:rPr>
      <w:rFonts w:ascii="宋体"/>
      <w:lang w:val="en-US" w:eastAsia="zh-CN"/>
    </w:rPr>
  </w:style>
  <w:style w:type="paragraph" w:customStyle="1" w:styleId="47">
    <w:name w:val="段"/>
    <w:link w:val="46"/>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48">
    <w:name w:val="正文_0_0_0"/>
    <w:basedOn w:val="1"/>
    <w:qFormat/>
    <w:uiPriority w:val="0"/>
    <w:rPr>
      <w:rFonts w:ascii="Calibri" w:hAnsi="Calibri"/>
      <w:szCs w:val="22"/>
    </w:rPr>
  </w:style>
  <w:style w:type="character" w:customStyle="1" w:styleId="49">
    <w:name w:val="批注框文本 字符"/>
    <w:basedOn w:val="29"/>
    <w:link w:val="17"/>
    <w:semiHidden/>
    <w:qFormat/>
    <w:uiPriority w:val="99"/>
    <w:rPr>
      <w:rFonts w:ascii="Times New Roman" w:hAnsi="Times New Roman" w:eastAsia="宋体" w:cs="Times New Roman"/>
      <w:sz w:val="18"/>
      <w:szCs w:val="18"/>
    </w:rPr>
  </w:style>
  <w:style w:type="paragraph" w:styleId="50">
    <w:name w:val="List Paragraph"/>
    <w:basedOn w:val="1"/>
    <w:qFormat/>
    <w:uiPriority w:val="0"/>
    <w:pPr>
      <w:ind w:firstLine="420" w:firstLineChars="200"/>
    </w:pPr>
  </w:style>
  <w:style w:type="paragraph" w:customStyle="1" w:styleId="51">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52">
    <w:name w:val="text"/>
    <w:qFormat/>
    <w:uiPriority w:val="0"/>
  </w:style>
  <w:style w:type="character" w:customStyle="1" w:styleId="53">
    <w:name w:val="批注文字 字符"/>
    <w:link w:val="13"/>
    <w:qFormat/>
    <w:uiPriority w:val="99"/>
    <w:rPr>
      <w:szCs w:val="24"/>
    </w:rPr>
  </w:style>
  <w:style w:type="character" w:customStyle="1" w:styleId="54">
    <w:name w:val="标题 字符"/>
    <w:link w:val="25"/>
    <w:qFormat/>
    <w:uiPriority w:val="0"/>
    <w:rPr>
      <w:rFonts w:ascii="Cambria" w:hAnsi="Cambria" w:cs="Times New Roman"/>
      <w:b/>
      <w:bCs/>
      <w:sz w:val="32"/>
      <w:szCs w:val="32"/>
    </w:rPr>
  </w:style>
  <w:style w:type="character" w:customStyle="1" w:styleId="55">
    <w:name w:val="批注文字 字符1"/>
    <w:basedOn w:val="29"/>
    <w:semiHidden/>
    <w:qFormat/>
    <w:uiPriority w:val="99"/>
    <w:rPr>
      <w:rFonts w:ascii="Times New Roman" w:hAnsi="Times New Roman" w:eastAsia="宋体" w:cs="Times New Roman"/>
      <w:szCs w:val="24"/>
    </w:rPr>
  </w:style>
  <w:style w:type="character" w:customStyle="1" w:styleId="56">
    <w:name w:val="标题 字符1"/>
    <w:basedOn w:val="29"/>
    <w:qFormat/>
    <w:uiPriority w:val="10"/>
    <w:rPr>
      <w:rFonts w:asciiTheme="majorHAnsi" w:hAnsiTheme="majorHAnsi" w:eastAsiaTheme="majorEastAsia" w:cstheme="majorBidi"/>
      <w:b/>
      <w:bCs/>
      <w:sz w:val="32"/>
      <w:szCs w:val="32"/>
    </w:rPr>
  </w:style>
  <w:style w:type="character" w:customStyle="1" w:styleId="57">
    <w:name w:val="未处理的提及1"/>
    <w:basedOn w:val="29"/>
    <w:unhideWhenUsed/>
    <w:qFormat/>
    <w:uiPriority w:val="99"/>
    <w:rPr>
      <w:color w:val="605E5C"/>
      <w:shd w:val="clear" w:color="auto" w:fill="E1DFDD"/>
    </w:rPr>
  </w:style>
  <w:style w:type="paragraph" w:customStyle="1" w:styleId="58">
    <w:name w:val="标题 3_0"/>
    <w:basedOn w:val="1"/>
    <w:next w:val="1"/>
    <w:link w:val="59"/>
    <w:qFormat/>
    <w:uiPriority w:val="0"/>
    <w:pPr>
      <w:keepNext/>
      <w:keepLines/>
      <w:autoSpaceDE w:val="0"/>
      <w:autoSpaceDN w:val="0"/>
      <w:adjustRightInd w:val="0"/>
      <w:spacing w:before="360" w:after="260" w:line="360" w:lineRule="auto"/>
      <w:jc w:val="left"/>
      <w:outlineLvl w:val="2"/>
    </w:pPr>
    <w:rPr>
      <w:rFonts w:ascii="宋体" w:hAnsi="Arial"/>
      <w:b/>
      <w:sz w:val="28"/>
      <w:szCs w:val="22"/>
      <w:lang w:val="zh-CN"/>
    </w:rPr>
  </w:style>
  <w:style w:type="character" w:customStyle="1" w:styleId="59">
    <w:name w:val="标题 3 Char"/>
    <w:link w:val="58"/>
    <w:qFormat/>
    <w:locked/>
    <w:uiPriority w:val="0"/>
    <w:rPr>
      <w:rFonts w:ascii="宋体" w:hAnsi="Arial" w:eastAsia="宋体" w:cs="Times New Roman"/>
      <w:b/>
      <w:sz w:val="28"/>
      <w:lang w:val="zh-CN" w:eastAsia="zh-CN"/>
    </w:rPr>
  </w:style>
  <w:style w:type="character" w:customStyle="1" w:styleId="60">
    <w:name w:val="p141_0"/>
    <w:qFormat/>
    <w:uiPriority w:val="0"/>
    <w:rPr>
      <w:rFonts w:ascii="Calibri" w:hAnsi="Calibri" w:eastAsia="宋体"/>
      <w:sz w:val="21"/>
      <w:szCs w:val="21"/>
      <w:lang w:val="en-US" w:eastAsia="zh-CN" w:bidi="ar-SA"/>
    </w:rPr>
  </w:style>
  <w:style w:type="character" w:customStyle="1" w:styleId="61">
    <w:name w:val="纯文本 Char_3"/>
    <w:link w:val="62"/>
    <w:qFormat/>
    <w:uiPriority w:val="0"/>
    <w:rPr>
      <w:rFonts w:ascii="宋体" w:hAnsi="Courier New"/>
      <w:szCs w:val="21"/>
    </w:rPr>
  </w:style>
  <w:style w:type="paragraph" w:customStyle="1" w:styleId="62">
    <w:name w:val="纯文本_2"/>
    <w:basedOn w:val="63"/>
    <w:link w:val="61"/>
    <w:qFormat/>
    <w:uiPriority w:val="0"/>
    <w:pPr>
      <w:widowControl/>
      <w:jc w:val="left"/>
    </w:pPr>
    <w:rPr>
      <w:rFonts w:ascii="宋体" w:hAnsi="Courier New" w:eastAsiaTheme="minorEastAsia" w:cstheme="minorBidi"/>
      <w:szCs w:val="21"/>
    </w:rPr>
  </w:style>
  <w:style w:type="paragraph" w:customStyle="1" w:styleId="63">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4">
    <w:name w:val="标题 1 字符1"/>
    <w:qFormat/>
    <w:uiPriority w:val="0"/>
    <w:rPr>
      <w:b/>
      <w:bCs/>
      <w:kern w:val="44"/>
      <w:sz w:val="44"/>
      <w:szCs w:val="44"/>
    </w:rPr>
  </w:style>
  <w:style w:type="character" w:customStyle="1" w:styleId="65">
    <w:name w:val="段落 Char"/>
    <w:link w:val="66"/>
    <w:qFormat/>
    <w:locked/>
    <w:uiPriority w:val="0"/>
    <w:rPr>
      <w:rFonts w:ascii="宋体" w:hAnsi="宋体"/>
      <w:sz w:val="24"/>
      <w:szCs w:val="28"/>
    </w:rPr>
  </w:style>
  <w:style w:type="paragraph" w:customStyle="1" w:styleId="66">
    <w:name w:val="段落"/>
    <w:basedOn w:val="67"/>
    <w:link w:val="65"/>
    <w:qFormat/>
    <w:uiPriority w:val="0"/>
    <w:pPr>
      <w:widowControl/>
      <w:spacing w:after="160" w:afterLines="50" w:line="400" w:lineRule="exact"/>
      <w:ind w:firstLine="480" w:firstLineChars="200"/>
      <w:jc w:val="left"/>
    </w:pPr>
    <w:rPr>
      <w:rFonts w:ascii="宋体" w:hAnsi="宋体" w:eastAsiaTheme="minorEastAsia" w:cstheme="minorBidi"/>
      <w:sz w:val="24"/>
      <w:szCs w:val="28"/>
      <w:shd w:val="clear" w:color="auto" w:fill="FFFFFF"/>
    </w:rPr>
  </w:style>
  <w:style w:type="paragraph" w:customStyle="1" w:styleId="67">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68">
    <w:name w:val="纯文本 Char_2"/>
    <w:link w:val="69"/>
    <w:qFormat/>
    <w:locked/>
    <w:uiPriority w:val="0"/>
    <w:rPr>
      <w:rFonts w:ascii="宋体" w:hAnsi="Courier New"/>
      <w:szCs w:val="21"/>
    </w:rPr>
  </w:style>
  <w:style w:type="paragraph" w:customStyle="1" w:styleId="69">
    <w:name w:val="纯文本_1"/>
    <w:basedOn w:val="70"/>
    <w:link w:val="68"/>
    <w:unhideWhenUsed/>
    <w:qFormat/>
    <w:uiPriority w:val="0"/>
    <w:pPr>
      <w:widowControl/>
      <w:wordWrap/>
      <w:spacing w:line="240" w:lineRule="auto"/>
      <w:jc w:val="left"/>
    </w:pPr>
    <w:rPr>
      <w:rFonts w:ascii="宋体" w:hAnsi="Courier New" w:eastAsiaTheme="minorEastAsia" w:cstheme="minorBidi"/>
      <w:szCs w:val="21"/>
    </w:rPr>
  </w:style>
  <w:style w:type="paragraph" w:customStyle="1" w:styleId="70">
    <w:name w:val="正文_1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character" w:customStyle="1" w:styleId="71">
    <w:name w:val="正文缩进 字符1"/>
    <w:link w:val="11"/>
    <w:qFormat/>
    <w:uiPriority w:val="0"/>
    <w:rPr>
      <w:sz w:val="24"/>
    </w:rPr>
  </w:style>
  <w:style w:type="character" w:customStyle="1" w:styleId="72">
    <w:name w:val="p141"/>
    <w:qFormat/>
    <w:uiPriority w:val="0"/>
    <w:rPr>
      <w:sz w:val="21"/>
      <w:szCs w:val="21"/>
    </w:rPr>
  </w:style>
  <w:style w:type="character" w:customStyle="1" w:styleId="73">
    <w:name w:val="正文缩进 Char Char"/>
    <w:link w:val="74"/>
    <w:qFormat/>
    <w:uiPriority w:val="0"/>
    <w:rPr>
      <w:sz w:val="24"/>
    </w:rPr>
  </w:style>
  <w:style w:type="paragraph" w:customStyle="1" w:styleId="74">
    <w:name w:val="正文缩进1"/>
    <w:basedOn w:val="1"/>
    <w:link w:val="73"/>
    <w:qFormat/>
    <w:uiPriority w:val="0"/>
    <w:pPr>
      <w:autoSpaceDE w:val="0"/>
      <w:autoSpaceDN w:val="0"/>
      <w:spacing w:line="360" w:lineRule="auto"/>
      <w:ind w:left="181" w:firstLine="420"/>
    </w:pPr>
    <w:rPr>
      <w:rFonts w:asciiTheme="minorHAnsi" w:hAnsiTheme="minorHAnsi" w:eastAsiaTheme="minorEastAsia" w:cstheme="minorBidi"/>
      <w:sz w:val="24"/>
      <w:szCs w:val="22"/>
    </w:rPr>
  </w:style>
  <w:style w:type="character" w:customStyle="1" w:styleId="75">
    <w:name w:val="文档结构图 字符"/>
    <w:link w:val="12"/>
    <w:qFormat/>
    <w:uiPriority w:val="0"/>
    <w:rPr>
      <w:rFonts w:ascii="宋体"/>
      <w:sz w:val="18"/>
      <w:szCs w:val="18"/>
    </w:rPr>
  </w:style>
  <w:style w:type="character" w:customStyle="1" w:styleId="76">
    <w:name w:val="纯文本 Char_0_0"/>
    <w:link w:val="77"/>
    <w:qFormat/>
    <w:locked/>
    <w:uiPriority w:val="0"/>
    <w:rPr>
      <w:rFonts w:ascii="宋体" w:hAnsi="Courier New"/>
      <w:szCs w:val="21"/>
      <w:lang w:val="en-US" w:eastAsia="zh-CN"/>
    </w:rPr>
  </w:style>
  <w:style w:type="paragraph" w:customStyle="1" w:styleId="77">
    <w:name w:val="纯文本1"/>
    <w:basedOn w:val="1"/>
    <w:link w:val="76"/>
    <w:qFormat/>
    <w:uiPriority w:val="0"/>
    <w:pPr>
      <w:widowControl/>
      <w:jc w:val="left"/>
    </w:pPr>
    <w:rPr>
      <w:rFonts w:ascii="宋体" w:hAnsi="Courier New" w:eastAsiaTheme="minorEastAsia" w:cstheme="minorBidi"/>
      <w:szCs w:val="21"/>
    </w:rPr>
  </w:style>
  <w:style w:type="character" w:customStyle="1" w:styleId="78">
    <w:name w:val="正文文本 Char1"/>
    <w:link w:val="79"/>
    <w:qFormat/>
    <w:uiPriority w:val="0"/>
    <w:rPr>
      <w:szCs w:val="24"/>
    </w:rPr>
  </w:style>
  <w:style w:type="paragraph" w:customStyle="1" w:styleId="79">
    <w:name w:val="正文文本_0"/>
    <w:basedOn w:val="67"/>
    <w:link w:val="78"/>
    <w:qFormat/>
    <w:uiPriority w:val="0"/>
    <w:pPr>
      <w:spacing w:after="120"/>
    </w:pPr>
    <w:rPr>
      <w:rFonts w:asciiTheme="minorHAnsi" w:hAnsiTheme="minorHAnsi" w:eastAsiaTheme="minorEastAsia" w:cstheme="minorBidi"/>
      <w:szCs w:val="24"/>
    </w:rPr>
  </w:style>
  <w:style w:type="character" w:customStyle="1" w:styleId="80">
    <w:name w:val="样式1 Char_0"/>
    <w:link w:val="81"/>
    <w:qFormat/>
    <w:uiPriority w:val="0"/>
    <w:rPr>
      <w:rFonts w:ascii="宋体" w:hAnsi="Arial"/>
      <w:b/>
      <w:sz w:val="32"/>
      <w:lang w:val="en-US" w:eastAsia="zh-CN"/>
    </w:rPr>
  </w:style>
  <w:style w:type="paragraph" w:customStyle="1" w:styleId="81">
    <w:name w:val="样式1_0_0"/>
    <w:basedOn w:val="1"/>
    <w:link w:val="80"/>
    <w:qFormat/>
    <w:uiPriority w:val="0"/>
    <w:pPr>
      <w:keepNext/>
      <w:keepLines/>
      <w:widowControl/>
      <w:tabs>
        <w:tab w:val="left" w:pos="420"/>
      </w:tabs>
      <w:adjustRightInd w:val="0"/>
      <w:snapToGrid w:val="0"/>
      <w:spacing w:line="360" w:lineRule="auto"/>
      <w:ind w:left="420" w:hanging="420"/>
      <w:jc w:val="center"/>
      <w:outlineLvl w:val="1"/>
    </w:pPr>
    <w:rPr>
      <w:rFonts w:ascii="宋体" w:hAnsi="Arial" w:eastAsiaTheme="minorEastAsia" w:cstheme="minorBidi"/>
      <w:b/>
      <w:sz w:val="32"/>
      <w:szCs w:val="22"/>
    </w:rPr>
  </w:style>
  <w:style w:type="character" w:customStyle="1" w:styleId="82">
    <w:name w:val="textunderline"/>
    <w:qFormat/>
    <w:uiPriority w:val="0"/>
  </w:style>
  <w:style w:type="character" w:customStyle="1" w:styleId="83">
    <w:name w:val="标题 3 Char_0"/>
    <w:link w:val="84"/>
    <w:qFormat/>
    <w:uiPriority w:val="9"/>
    <w:rPr>
      <w:rFonts w:ascii="Calibri" w:hAnsi="Calibri"/>
      <w:b/>
      <w:bCs/>
      <w:sz w:val="32"/>
      <w:szCs w:val="32"/>
    </w:rPr>
  </w:style>
  <w:style w:type="paragraph" w:customStyle="1" w:styleId="84">
    <w:name w:val="标题 3_1"/>
    <w:basedOn w:val="85"/>
    <w:next w:val="85"/>
    <w:link w:val="83"/>
    <w:unhideWhenUsed/>
    <w:qFormat/>
    <w:uiPriority w:val="9"/>
    <w:pPr>
      <w:keepNext/>
      <w:keepLines/>
      <w:numPr>
        <w:ilvl w:val="2"/>
        <w:numId w:val="2"/>
      </w:numPr>
      <w:spacing w:before="260" w:after="260" w:line="416" w:lineRule="auto"/>
      <w:outlineLvl w:val="2"/>
    </w:pPr>
    <w:rPr>
      <w:rFonts w:eastAsiaTheme="minorEastAsia" w:cstheme="minorBidi"/>
      <w:b/>
      <w:bCs/>
      <w:sz w:val="32"/>
      <w:szCs w:val="32"/>
    </w:rPr>
  </w:style>
  <w:style w:type="paragraph" w:customStyle="1" w:styleId="85">
    <w:name w:val="正文_4"/>
    <w:qFormat/>
    <w:uiPriority w:val="0"/>
    <w:pPr>
      <w:widowControl w:val="0"/>
      <w:jc w:val="both"/>
    </w:pPr>
    <w:rPr>
      <w:rFonts w:ascii="Calibri" w:hAnsi="Calibri" w:eastAsia="宋体" w:cs="Times New Roman"/>
      <w:kern w:val="2"/>
      <w:sz w:val="21"/>
      <w:szCs w:val="22"/>
      <w:lang w:val="en-US" w:eastAsia="zh-CN" w:bidi="ar-SA"/>
    </w:rPr>
  </w:style>
  <w:style w:type="character" w:customStyle="1" w:styleId="86">
    <w:name w:val="正文 Char"/>
    <w:link w:val="87"/>
    <w:qFormat/>
    <w:uiPriority w:val="0"/>
    <w:rPr>
      <w:sz w:val="24"/>
    </w:rPr>
  </w:style>
  <w:style w:type="paragraph" w:customStyle="1" w:styleId="87">
    <w:name w:val="正文11"/>
    <w:basedOn w:val="1"/>
    <w:link w:val="86"/>
    <w:qFormat/>
    <w:uiPriority w:val="0"/>
    <w:pPr>
      <w:spacing w:before="50" w:after="50" w:line="400" w:lineRule="exact"/>
    </w:pPr>
    <w:rPr>
      <w:rFonts w:asciiTheme="minorHAnsi" w:hAnsiTheme="minorHAnsi" w:eastAsiaTheme="minorEastAsia" w:cstheme="minorBidi"/>
      <w:sz w:val="24"/>
      <w:szCs w:val="22"/>
    </w:rPr>
  </w:style>
  <w:style w:type="character" w:customStyle="1" w:styleId="88">
    <w:name w:val="纯文本 Char_0"/>
    <w:link w:val="89"/>
    <w:qFormat/>
    <w:locked/>
    <w:uiPriority w:val="0"/>
    <w:rPr>
      <w:rFonts w:ascii="宋体" w:hAnsi="Courier New"/>
      <w:szCs w:val="21"/>
    </w:rPr>
  </w:style>
  <w:style w:type="paragraph" w:customStyle="1" w:styleId="89">
    <w:name w:val="纯文本_0"/>
    <w:basedOn w:val="85"/>
    <w:link w:val="88"/>
    <w:unhideWhenUsed/>
    <w:qFormat/>
    <w:uiPriority w:val="0"/>
    <w:pPr>
      <w:widowControl/>
      <w:jc w:val="left"/>
    </w:pPr>
    <w:rPr>
      <w:rFonts w:ascii="宋体" w:hAnsi="Courier New" w:eastAsiaTheme="minorEastAsia" w:cstheme="minorBidi"/>
      <w:szCs w:val="21"/>
    </w:rPr>
  </w:style>
  <w:style w:type="character" w:customStyle="1" w:styleId="90">
    <w:name w:val="纯文本 Char_1"/>
    <w:link w:val="91"/>
    <w:qFormat/>
    <w:locked/>
    <w:uiPriority w:val="0"/>
    <w:rPr>
      <w:rFonts w:ascii="宋体" w:hAnsi="Courier New"/>
      <w:szCs w:val="21"/>
    </w:rPr>
  </w:style>
  <w:style w:type="paragraph" w:customStyle="1" w:styleId="91">
    <w:name w:val="纯文本_0_0"/>
    <w:basedOn w:val="92"/>
    <w:link w:val="90"/>
    <w:unhideWhenUsed/>
    <w:qFormat/>
    <w:uiPriority w:val="0"/>
    <w:pPr>
      <w:widowControl/>
      <w:jc w:val="left"/>
    </w:pPr>
    <w:rPr>
      <w:rFonts w:ascii="宋体" w:hAnsi="Courier New" w:eastAsiaTheme="minorEastAsia" w:cstheme="minorBidi"/>
      <w:szCs w:val="21"/>
    </w:rPr>
  </w:style>
  <w:style w:type="paragraph" w:customStyle="1" w:styleId="92">
    <w:name w:val="正文_0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93">
    <w:name w:val="正文缩进 字符"/>
    <w:qFormat/>
    <w:uiPriority w:val="0"/>
  </w:style>
  <w:style w:type="character" w:customStyle="1" w:styleId="94">
    <w:name w:val="正文文本 字符"/>
    <w:link w:val="14"/>
    <w:qFormat/>
    <w:uiPriority w:val="0"/>
    <w:rPr>
      <w:szCs w:val="24"/>
    </w:rPr>
  </w:style>
  <w:style w:type="character" w:customStyle="1" w:styleId="95">
    <w:name w:val="正文缩进 Char_0"/>
    <w:link w:val="96"/>
    <w:qFormat/>
    <w:uiPriority w:val="0"/>
  </w:style>
  <w:style w:type="paragraph" w:customStyle="1" w:styleId="96">
    <w:name w:val="正文缩进_0"/>
    <w:basedOn w:val="1"/>
    <w:link w:val="95"/>
    <w:qFormat/>
    <w:uiPriority w:val="0"/>
    <w:pPr>
      <w:ind w:firstLine="420"/>
    </w:pPr>
    <w:rPr>
      <w:rFonts w:asciiTheme="minorHAnsi" w:hAnsiTheme="minorHAnsi" w:eastAsiaTheme="minorEastAsia" w:cstheme="minorBidi"/>
      <w:szCs w:val="22"/>
    </w:rPr>
  </w:style>
  <w:style w:type="character" w:customStyle="1" w:styleId="97">
    <w:name w:val="列出段落 Char_1"/>
    <w:link w:val="98"/>
    <w:qFormat/>
    <w:uiPriority w:val="0"/>
    <w:rPr>
      <w:szCs w:val="24"/>
    </w:rPr>
  </w:style>
  <w:style w:type="paragraph" w:customStyle="1" w:styleId="98">
    <w:name w:val="列出段落_1"/>
    <w:basedOn w:val="99"/>
    <w:link w:val="97"/>
    <w:qFormat/>
    <w:uiPriority w:val="0"/>
    <w:pPr>
      <w:widowControl/>
      <w:ind w:firstLine="420" w:firstLineChars="200"/>
      <w:jc w:val="left"/>
    </w:pPr>
    <w:rPr>
      <w:rFonts w:asciiTheme="minorHAnsi" w:hAnsiTheme="minorHAnsi" w:eastAsiaTheme="minorEastAsia" w:cstheme="minorBidi"/>
    </w:rPr>
  </w:style>
  <w:style w:type="paragraph" w:customStyle="1" w:styleId="99">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0">
    <w:name w:val="纯文本 字符"/>
    <w:link w:val="16"/>
    <w:qFormat/>
    <w:uiPriority w:val="0"/>
    <w:rPr>
      <w:rFonts w:ascii="宋体" w:hAnsi="Courier New" w:cs="Courier New"/>
      <w:szCs w:val="21"/>
    </w:rPr>
  </w:style>
  <w:style w:type="character" w:customStyle="1" w:styleId="101">
    <w:name w:val="样式1 Char"/>
    <w:link w:val="102"/>
    <w:qFormat/>
    <w:uiPriority w:val="0"/>
    <w:rPr>
      <w:rFonts w:ascii="宋体" w:hAnsi="Arial"/>
      <w:b/>
      <w:sz w:val="32"/>
      <w:lang w:val="en-US" w:eastAsia="zh-CN"/>
    </w:rPr>
  </w:style>
  <w:style w:type="paragraph" w:customStyle="1" w:styleId="102">
    <w:name w:val="样式1_0"/>
    <w:basedOn w:val="1"/>
    <w:link w:val="101"/>
    <w:qFormat/>
    <w:uiPriority w:val="0"/>
    <w:pPr>
      <w:keepNext/>
      <w:keepLines/>
      <w:widowControl/>
      <w:tabs>
        <w:tab w:val="left" w:pos="420"/>
      </w:tabs>
      <w:adjustRightInd w:val="0"/>
      <w:snapToGrid w:val="0"/>
      <w:spacing w:line="360" w:lineRule="auto"/>
      <w:ind w:left="420" w:hanging="420"/>
      <w:jc w:val="center"/>
      <w:outlineLvl w:val="1"/>
    </w:pPr>
    <w:rPr>
      <w:rFonts w:ascii="宋体" w:hAnsi="Arial" w:eastAsiaTheme="minorEastAsia" w:cstheme="minorBidi"/>
      <w:b/>
      <w:sz w:val="32"/>
      <w:szCs w:val="22"/>
    </w:rPr>
  </w:style>
  <w:style w:type="character" w:customStyle="1" w:styleId="103">
    <w:name w:val="正文文本 字符1"/>
    <w:basedOn w:val="29"/>
    <w:semiHidden/>
    <w:qFormat/>
    <w:uiPriority w:val="99"/>
    <w:rPr>
      <w:rFonts w:ascii="Times New Roman" w:hAnsi="Times New Roman" w:eastAsia="宋体" w:cs="Times New Roman"/>
      <w:szCs w:val="24"/>
    </w:rPr>
  </w:style>
  <w:style w:type="character" w:customStyle="1" w:styleId="104">
    <w:name w:val="文档结构图 字符1"/>
    <w:basedOn w:val="29"/>
    <w:semiHidden/>
    <w:qFormat/>
    <w:uiPriority w:val="99"/>
    <w:rPr>
      <w:rFonts w:ascii="Microsoft YaHei UI" w:hAnsi="Times New Roman" w:eastAsia="Microsoft YaHei UI" w:cs="Times New Roman"/>
      <w:sz w:val="18"/>
      <w:szCs w:val="18"/>
    </w:rPr>
  </w:style>
  <w:style w:type="character" w:customStyle="1" w:styleId="105">
    <w:name w:val="HTML 预设格式 字符"/>
    <w:basedOn w:val="29"/>
    <w:link w:val="22"/>
    <w:qFormat/>
    <w:uiPriority w:val="0"/>
    <w:rPr>
      <w:rFonts w:ascii="Arial" w:hAnsi="Arial" w:eastAsia="宋体" w:cs="Arial"/>
      <w:kern w:val="0"/>
      <w:sz w:val="24"/>
      <w:szCs w:val="24"/>
    </w:rPr>
  </w:style>
  <w:style w:type="character" w:customStyle="1" w:styleId="106">
    <w:name w:val="纯文本 字符1"/>
    <w:basedOn w:val="29"/>
    <w:semiHidden/>
    <w:qFormat/>
    <w:uiPriority w:val="99"/>
    <w:rPr>
      <w:rFonts w:hAnsi="Courier New" w:cs="Courier New" w:asciiTheme="minorEastAsia"/>
      <w:szCs w:val="24"/>
    </w:rPr>
  </w:style>
  <w:style w:type="character" w:customStyle="1" w:styleId="107">
    <w:name w:val="批注主题 字符"/>
    <w:basedOn w:val="53"/>
    <w:link w:val="26"/>
    <w:semiHidden/>
    <w:qFormat/>
    <w:uiPriority w:val="0"/>
    <w:rPr>
      <w:rFonts w:ascii="Times New Roman" w:hAnsi="Times New Roman" w:eastAsia="宋体" w:cs="Times New Roman"/>
      <w:b/>
      <w:bCs/>
      <w:szCs w:val="24"/>
      <w:lang w:val="zh-CN" w:eastAsia="zh-CN"/>
    </w:rPr>
  </w:style>
  <w:style w:type="paragraph" w:customStyle="1" w:styleId="108">
    <w:name w:val="三级条标题"/>
    <w:basedOn w:val="109"/>
    <w:next w:val="47"/>
    <w:qFormat/>
    <w:uiPriority w:val="0"/>
    <w:pPr>
      <w:outlineLvl w:val="4"/>
    </w:pPr>
  </w:style>
  <w:style w:type="paragraph" w:customStyle="1" w:styleId="109">
    <w:name w:val="二级条标题"/>
    <w:basedOn w:val="110"/>
    <w:next w:val="47"/>
    <w:qFormat/>
    <w:uiPriority w:val="0"/>
    <w:pPr>
      <w:numPr>
        <w:ilvl w:val="0"/>
        <w:numId w:val="0"/>
      </w:numPr>
      <w:spacing w:before="50" w:after="50"/>
      <w:outlineLvl w:val="3"/>
    </w:pPr>
  </w:style>
  <w:style w:type="paragraph" w:customStyle="1" w:styleId="110">
    <w:name w:val="一级条标题"/>
    <w:next w:val="47"/>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11">
    <w:name w:val="注×：（正文）"/>
    <w:qFormat/>
    <w:uiPriority w:val="0"/>
    <w:pPr>
      <w:numPr>
        <w:ilvl w:val="0"/>
        <w:numId w:val="2"/>
      </w:numPr>
      <w:jc w:val="both"/>
    </w:pPr>
    <w:rPr>
      <w:rFonts w:ascii="宋体" w:hAnsi="Times New Roman" w:eastAsia="宋体" w:cs="Times New Roman"/>
      <w:sz w:val="18"/>
      <w:szCs w:val="18"/>
      <w:lang w:val="en-US" w:eastAsia="zh-CN" w:bidi="ar-SA"/>
    </w:rPr>
  </w:style>
  <w:style w:type="paragraph" w:customStyle="1" w:styleId="112">
    <w:name w:val="标题 7_0"/>
    <w:basedOn w:val="85"/>
    <w:next w:val="85"/>
    <w:unhideWhenUsed/>
    <w:qFormat/>
    <w:uiPriority w:val="9"/>
    <w:pPr>
      <w:keepNext/>
      <w:keepLines/>
      <w:numPr>
        <w:ilvl w:val="6"/>
        <w:numId w:val="2"/>
      </w:numPr>
      <w:spacing w:before="240" w:after="64" w:line="320" w:lineRule="auto"/>
      <w:outlineLvl w:val="6"/>
    </w:pPr>
    <w:rPr>
      <w:b/>
      <w:bCs/>
      <w:kern w:val="0"/>
      <w:sz w:val="24"/>
      <w:szCs w:val="24"/>
    </w:rPr>
  </w:style>
  <w:style w:type="paragraph" w:customStyle="1" w:styleId="113">
    <w:name w:val="章标题"/>
    <w:next w:val="47"/>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1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Normal_23"/>
    <w:qFormat/>
    <w:uiPriority w:val="0"/>
    <w:rPr>
      <w:rFonts w:ascii="Times New Roman" w:hAnsi="Times New Roman" w:eastAsia="宋体" w:cs="Times New Roman"/>
      <w:sz w:val="21"/>
      <w:lang w:val="en-US" w:eastAsia="zh-CN" w:bidi="ar-SA"/>
    </w:rPr>
  </w:style>
  <w:style w:type="paragraph" w:customStyle="1" w:styleId="116">
    <w:name w:val="标题 2_0"/>
    <w:basedOn w:val="85"/>
    <w:next w:val="85"/>
    <w:unhideWhenUsed/>
    <w:qFormat/>
    <w:uiPriority w:val="9"/>
    <w:pPr>
      <w:keepNext/>
      <w:keepLines/>
      <w:spacing w:before="260" w:after="260" w:line="416" w:lineRule="auto"/>
      <w:outlineLvl w:val="1"/>
    </w:pPr>
    <w:rPr>
      <w:rFonts w:ascii="Cambria" w:hAnsi="Cambria"/>
      <w:b/>
      <w:bCs/>
      <w:kern w:val="0"/>
      <w:sz w:val="30"/>
      <w:szCs w:val="32"/>
    </w:rPr>
  </w:style>
  <w:style w:type="paragraph" w:customStyle="1" w:styleId="117">
    <w:name w:val="1"/>
    <w:basedOn w:val="1"/>
    <w:next w:val="16"/>
    <w:qFormat/>
    <w:uiPriority w:val="0"/>
    <w:rPr>
      <w:rFonts w:ascii="宋体" w:hAnsi="Courier New"/>
      <w:szCs w:val="20"/>
    </w:rPr>
  </w:style>
  <w:style w:type="paragraph" w:customStyle="1" w:styleId="118">
    <w:name w:val="正文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
    <w:name w:val="正文_0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1">
    <w:name w:val="正文1"/>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2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Char Char Char Char Char Char Char Char Char Char"/>
    <w:basedOn w:val="1"/>
    <w:qFormat/>
    <w:uiPriority w:val="0"/>
    <w:rPr>
      <w:rFonts w:ascii="Tahoma" w:hAnsi="Tahoma"/>
      <w:sz w:val="24"/>
      <w:szCs w:val="20"/>
    </w:rPr>
  </w:style>
  <w:style w:type="paragraph" w:customStyle="1" w:styleId="124">
    <w:name w:val="标题 1_0"/>
    <w:basedOn w:val="85"/>
    <w:next w:val="85"/>
    <w:qFormat/>
    <w:uiPriority w:val="9"/>
    <w:pPr>
      <w:keepNext/>
      <w:keepLines/>
      <w:spacing w:before="120" w:after="120" w:line="360" w:lineRule="auto"/>
      <w:ind w:hanging="431" w:hangingChars="205"/>
      <w:outlineLvl w:val="0"/>
    </w:pPr>
    <w:rPr>
      <w:b/>
      <w:bCs/>
      <w:kern w:val="44"/>
      <w:sz w:val="32"/>
      <w:szCs w:val="44"/>
    </w:rPr>
  </w:style>
  <w:style w:type="paragraph" w:customStyle="1" w:styleId="125">
    <w:name w:val="四级条标题"/>
    <w:basedOn w:val="1"/>
    <w:next w:val="47"/>
    <w:qFormat/>
    <w:uiPriority w:val="0"/>
    <w:pPr>
      <w:widowControl/>
      <w:numPr>
        <w:ilvl w:val="4"/>
        <w:numId w:val="2"/>
      </w:numPr>
      <w:spacing w:before="50" w:beforeLines="50" w:after="50" w:afterLines="50"/>
      <w:jc w:val="left"/>
      <w:outlineLvl w:val="5"/>
    </w:pPr>
    <w:rPr>
      <w:rFonts w:ascii="黑体" w:eastAsia="黑体"/>
      <w:kern w:val="0"/>
      <w:szCs w:val="21"/>
    </w:rPr>
  </w:style>
  <w:style w:type="paragraph" w:customStyle="1" w:styleId="126">
    <w:name w:val="标题 8_0"/>
    <w:basedOn w:val="85"/>
    <w:next w:val="85"/>
    <w:unhideWhenUsed/>
    <w:qFormat/>
    <w:uiPriority w:val="9"/>
    <w:pPr>
      <w:keepNext/>
      <w:keepLines/>
      <w:numPr>
        <w:ilvl w:val="7"/>
        <w:numId w:val="2"/>
      </w:numPr>
      <w:spacing w:before="240" w:after="64" w:line="320" w:lineRule="auto"/>
      <w:outlineLvl w:val="7"/>
    </w:pPr>
    <w:rPr>
      <w:rFonts w:ascii="Cambria" w:hAnsi="Cambria"/>
      <w:kern w:val="0"/>
      <w:sz w:val="24"/>
      <w:szCs w:val="24"/>
    </w:rPr>
  </w:style>
  <w:style w:type="paragraph" w:customStyle="1" w:styleId="127">
    <w:name w:val="Normal_25"/>
    <w:qFormat/>
    <w:uiPriority w:val="0"/>
    <w:rPr>
      <w:rFonts w:ascii="Times New Roman" w:hAnsi="Times New Roman" w:eastAsia="宋体" w:cs="Times New Roman"/>
      <w:sz w:val="21"/>
      <w:lang w:val="en-US" w:eastAsia="zh-CN" w:bidi="ar-SA"/>
    </w:rPr>
  </w:style>
  <w:style w:type="paragraph" w:customStyle="1" w:styleId="128">
    <w:name w:val="列项——（一级）"/>
    <w:qFormat/>
    <w:uiPriority w:val="0"/>
    <w:pPr>
      <w:widowControl w:val="0"/>
      <w:jc w:val="both"/>
    </w:pPr>
    <w:rPr>
      <w:rFonts w:ascii="宋体" w:hAnsi="Times New Roman" w:eastAsia="宋体" w:cs="Times New Roman"/>
      <w:sz w:val="21"/>
      <w:lang w:val="en-US" w:eastAsia="zh-CN" w:bidi="ar-SA"/>
    </w:rPr>
  </w:style>
  <w:style w:type="paragraph" w:customStyle="1" w:styleId="129">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列出段落2"/>
    <w:basedOn w:val="1"/>
    <w:unhideWhenUsed/>
    <w:qFormat/>
    <w:uiPriority w:val="99"/>
    <w:pPr>
      <w:ind w:firstLine="420" w:firstLineChars="200"/>
    </w:pPr>
  </w:style>
  <w:style w:type="paragraph" w:customStyle="1" w:styleId="131">
    <w:name w:val="Char"/>
    <w:basedOn w:val="1"/>
    <w:qFormat/>
    <w:uiPriority w:val="0"/>
    <w:pPr>
      <w:tabs>
        <w:tab w:val="left" w:pos="825"/>
      </w:tabs>
    </w:pPr>
    <w:rPr>
      <w:sz w:val="24"/>
    </w:rPr>
  </w:style>
  <w:style w:type="paragraph" w:customStyle="1" w:styleId="132">
    <w:name w:val="Char1"/>
    <w:basedOn w:val="1"/>
    <w:qFormat/>
    <w:uiPriority w:val="0"/>
    <w:rPr>
      <w:rFonts w:ascii="Tahoma" w:hAnsi="Tahoma"/>
      <w:sz w:val="24"/>
      <w:szCs w:val="22"/>
    </w:rPr>
  </w:style>
  <w:style w:type="paragraph" w:customStyle="1" w:styleId="133">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字母编号列项（一级）"/>
    <w:qFormat/>
    <w:uiPriority w:val="0"/>
    <w:pPr>
      <w:tabs>
        <w:tab w:val="left" w:pos="840"/>
      </w:tabs>
      <w:jc w:val="both"/>
    </w:pPr>
    <w:rPr>
      <w:rFonts w:ascii="宋体" w:hAnsi="Times New Roman" w:eastAsia="宋体" w:cs="Times New Roman"/>
      <w:sz w:val="21"/>
      <w:lang w:val="en-US" w:eastAsia="zh-CN" w:bidi="ar-SA"/>
    </w:rPr>
  </w:style>
  <w:style w:type="paragraph" w:customStyle="1" w:styleId="13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五级条标题"/>
    <w:basedOn w:val="125"/>
    <w:next w:val="47"/>
    <w:qFormat/>
    <w:uiPriority w:val="0"/>
    <w:pPr>
      <w:numPr>
        <w:ilvl w:val="5"/>
      </w:numPr>
      <w:outlineLvl w:val="6"/>
    </w:pPr>
  </w:style>
  <w:style w:type="paragraph" w:customStyle="1" w:styleId="137">
    <w:name w:val="样式 New"/>
    <w:basedOn w:val="121"/>
    <w:next w:val="1"/>
    <w:qFormat/>
    <w:uiPriority w:val="0"/>
    <w:pPr>
      <w:ind w:left="572" w:right="32" w:firstLine="478"/>
    </w:pPr>
  </w:style>
  <w:style w:type="paragraph" w:customStyle="1" w:styleId="138">
    <w:name w:val="150"/>
    <w:basedOn w:val="1"/>
    <w:qFormat/>
    <w:uiPriority w:val="0"/>
    <w:pPr>
      <w:spacing w:before="100" w:beforeAutospacing="1" w:after="100" w:afterAutospacing="1" w:line="360" w:lineRule="auto"/>
    </w:pPr>
    <w:rPr>
      <w:rFonts w:ascii="宋体" w:hAnsi="宋体"/>
      <w:color w:val="000000"/>
      <w:sz w:val="24"/>
    </w:rPr>
  </w:style>
  <w:style w:type="paragraph" w:customStyle="1" w:styleId="139">
    <w:name w:val="列项◆（三级）"/>
    <w:basedOn w:val="1"/>
    <w:qFormat/>
    <w:uiPriority w:val="0"/>
    <w:pPr>
      <w:tabs>
        <w:tab w:val="left" w:pos="1678"/>
      </w:tabs>
    </w:pPr>
    <w:rPr>
      <w:rFonts w:ascii="宋体"/>
      <w:szCs w:val="21"/>
    </w:rPr>
  </w:style>
  <w:style w:type="paragraph" w:customStyle="1" w:styleId="140">
    <w:name w:val="文档正文"/>
    <w:basedOn w:val="1"/>
    <w:qFormat/>
    <w:uiPriority w:val="0"/>
    <w:rPr>
      <w:rFonts w:ascii="Arial" w:hAnsi="Arial" w:cs="Arial"/>
      <w:bCs/>
      <w:sz w:val="24"/>
    </w:rPr>
  </w:style>
  <w:style w:type="paragraph" w:customStyle="1" w:styleId="141">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3">
    <w:name w:val="正文表标题"/>
    <w:next w:val="47"/>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44">
    <w:name w:val="标题 9_0"/>
    <w:basedOn w:val="85"/>
    <w:next w:val="85"/>
    <w:unhideWhenUsed/>
    <w:qFormat/>
    <w:uiPriority w:val="9"/>
    <w:pPr>
      <w:keepNext/>
      <w:keepLines/>
      <w:numPr>
        <w:ilvl w:val="8"/>
        <w:numId w:val="2"/>
      </w:numPr>
      <w:spacing w:before="240" w:after="64" w:line="320" w:lineRule="auto"/>
      <w:outlineLvl w:val="8"/>
    </w:pPr>
    <w:rPr>
      <w:rFonts w:ascii="Cambria" w:hAnsi="Cambria"/>
      <w:kern w:val="0"/>
      <w:sz w:val="20"/>
      <w:szCs w:val="21"/>
    </w:rPr>
  </w:style>
  <w:style w:type="paragraph" w:customStyle="1" w:styleId="145">
    <w:name w:val="标题 6_0"/>
    <w:basedOn w:val="85"/>
    <w:next w:val="85"/>
    <w:unhideWhenUsed/>
    <w:qFormat/>
    <w:uiPriority w:val="9"/>
    <w:pPr>
      <w:keepNext/>
      <w:keepLines/>
      <w:spacing w:before="240" w:after="64" w:line="320" w:lineRule="auto"/>
      <w:outlineLvl w:val="5"/>
    </w:pPr>
    <w:rPr>
      <w:rFonts w:ascii="Cambria" w:hAnsi="Cambria"/>
      <w:b/>
      <w:bCs/>
      <w:kern w:val="0"/>
      <w:sz w:val="24"/>
      <w:szCs w:val="24"/>
    </w:rPr>
  </w:style>
  <w:style w:type="paragraph" w:customStyle="1" w:styleId="146">
    <w:name w:val="Normal_15"/>
    <w:qFormat/>
    <w:uiPriority w:val="0"/>
    <w:rPr>
      <w:rFonts w:ascii="Times New Roman" w:hAnsi="Times New Roman" w:eastAsia="宋体" w:cs="Times New Roman"/>
      <w:sz w:val="21"/>
      <w:lang w:val="en-US" w:eastAsia="zh-CN" w:bidi="ar-SA"/>
    </w:rPr>
  </w:style>
  <w:style w:type="paragraph" w:customStyle="1" w:styleId="147">
    <w:name w:val="Char Char1 Char Char Char Char Char Char Char Char Char Char"/>
    <w:basedOn w:val="1"/>
    <w:qFormat/>
    <w:uiPriority w:val="0"/>
    <w:rPr>
      <w:rFonts w:ascii="Tahoma" w:hAnsi="Tahoma"/>
      <w:sz w:val="24"/>
      <w:szCs w:val="20"/>
    </w:rPr>
  </w:style>
  <w:style w:type="paragraph" w:customStyle="1" w:styleId="148">
    <w:name w:val="列表段落1"/>
    <w:basedOn w:val="1"/>
    <w:qFormat/>
    <w:uiPriority w:val="0"/>
    <w:pPr>
      <w:spacing w:before="312" w:beforeLines="100" w:line="360" w:lineRule="auto"/>
      <w:ind w:left="425" w:firstLine="420" w:firstLineChars="200"/>
    </w:pPr>
    <w:rPr>
      <w:rFonts w:ascii="Calibri" w:hAnsi="Calibri"/>
      <w:szCs w:val="22"/>
    </w:rPr>
  </w:style>
  <w:style w:type="paragraph" w:customStyle="1" w:styleId="149">
    <w:name w:val="标题 5_0"/>
    <w:basedOn w:val="85"/>
    <w:next w:val="85"/>
    <w:unhideWhenUsed/>
    <w:qFormat/>
    <w:uiPriority w:val="9"/>
    <w:pPr>
      <w:keepNext/>
      <w:keepLines/>
      <w:spacing w:before="280" w:after="290" w:line="376" w:lineRule="auto"/>
      <w:outlineLvl w:val="4"/>
    </w:pPr>
    <w:rPr>
      <w:b/>
      <w:bCs/>
      <w:kern w:val="0"/>
      <w:sz w:val="28"/>
      <w:szCs w:val="28"/>
    </w:rPr>
  </w:style>
  <w:style w:type="paragraph" w:customStyle="1" w:styleId="150">
    <w:name w:val="列项●（二级）"/>
    <w:qFormat/>
    <w:uiPriority w:val="0"/>
    <w:pPr>
      <w:tabs>
        <w:tab w:val="left" w:pos="760"/>
        <w:tab w:val="left" w:pos="840"/>
      </w:tabs>
      <w:jc w:val="both"/>
    </w:pPr>
    <w:rPr>
      <w:rFonts w:ascii="宋体" w:hAnsi="Times New Roman" w:eastAsia="宋体" w:cs="Times New Roman"/>
      <w:sz w:val="21"/>
      <w:lang w:val="en-US" w:eastAsia="zh-CN" w:bidi="ar-SA"/>
    </w:rPr>
  </w:style>
  <w:style w:type="paragraph" w:customStyle="1" w:styleId="151">
    <w:name w:val="标题 4_0"/>
    <w:basedOn w:val="85"/>
    <w:next w:val="85"/>
    <w:unhideWhenUsed/>
    <w:qFormat/>
    <w:uiPriority w:val="9"/>
    <w:pPr>
      <w:keepNext/>
      <w:keepLines/>
      <w:numPr>
        <w:ilvl w:val="3"/>
        <w:numId w:val="2"/>
      </w:numPr>
      <w:spacing w:before="280" w:after="290" w:line="376" w:lineRule="auto"/>
      <w:outlineLvl w:val="3"/>
    </w:pPr>
    <w:rPr>
      <w:rFonts w:ascii="Cambria" w:hAnsi="Cambria"/>
      <w:b/>
      <w:bCs/>
      <w:kern w:val="0"/>
      <w:sz w:val="28"/>
      <w:szCs w:val="28"/>
    </w:rPr>
  </w:style>
  <w:style w:type="paragraph" w:customStyle="1" w:styleId="152">
    <w:name w:val="TOC 标题1"/>
    <w:basedOn w:val="2"/>
    <w:next w:val="1"/>
    <w:qFormat/>
    <w:uiPriority w:val="39"/>
    <w:pPr>
      <w:widowControl/>
      <w:spacing w:before="240" w:beforeLines="0" w:after="0" w:afterLines="0" w:line="259" w:lineRule="auto"/>
      <w:jc w:val="left"/>
      <w:outlineLvl w:val="9"/>
    </w:pPr>
    <w:rPr>
      <w:rFonts w:ascii="等线 Light" w:hAnsi="等线 Light" w:eastAsia="等线 Light"/>
      <w:b w:val="0"/>
      <w:bCs w:val="0"/>
      <w:color w:val="2E74B5"/>
      <w:kern w:val="0"/>
      <w:sz w:val="32"/>
      <w:szCs w:val="32"/>
    </w:rPr>
  </w:style>
  <w:style w:type="paragraph" w:customStyle="1" w:styleId="153">
    <w:name w:val="正文_4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4">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55">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数字编号列项（二级）"/>
    <w:qFormat/>
    <w:uiPriority w:val="0"/>
    <w:pPr>
      <w:tabs>
        <w:tab w:val="left" w:pos="1260"/>
      </w:tabs>
      <w:jc w:val="both"/>
    </w:pPr>
    <w:rPr>
      <w:rFonts w:ascii="宋体" w:hAnsi="Times New Roman" w:eastAsia="宋体" w:cs="Times New Roman"/>
      <w:sz w:val="21"/>
      <w:lang w:val="en-US" w:eastAsia="zh-CN" w:bidi="ar-SA"/>
    </w:rPr>
  </w:style>
  <w:style w:type="paragraph" w:customStyle="1" w:styleId="157">
    <w:name w:val="Char3"/>
    <w:basedOn w:val="1"/>
    <w:qFormat/>
    <w:uiPriority w:val="0"/>
    <w:pPr>
      <w:numPr>
        <w:ilvl w:val="0"/>
        <w:numId w:val="3"/>
      </w:numPr>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F1C068-992E-4634-8000-53077C25317E}">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2793</Words>
  <Characters>15921</Characters>
  <Lines>132</Lines>
  <Paragraphs>37</Paragraphs>
  <TotalTime>4</TotalTime>
  <ScaleCrop>false</ScaleCrop>
  <LinksUpToDate>false</LinksUpToDate>
  <CharactersWithSpaces>18677</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2020-05-04T09:08:00Z</dcterms:created>
  <dc:creator>唐诗韵1</dc:creator>
  <cp:lastModifiedBy>林乐</cp:lastModifiedBy>
  <cp:lastPrinted>2019-06-03T02:20:00Z</cp:lastPrinted>
  <dcterms:modified xsi:type="dcterms:W3CDTF">2020-05-22T06:26:51Z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